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EF27D" w14:textId="6DD715B3" w:rsidR="00642BD3" w:rsidRPr="00DE4417" w:rsidRDefault="00642BD3" w:rsidP="00642BD3">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Pr>
          <w:rFonts w:eastAsia="Malgun Gothic"/>
          <w:b/>
          <w:bCs/>
          <w:sz w:val="28"/>
          <w:lang w:val="en-GB"/>
        </w:rPr>
        <w:t>86</w:t>
      </w:r>
      <w:r w:rsidRPr="00DE4417">
        <w:rPr>
          <w:rFonts w:eastAsia="Malgun Gothic"/>
          <w:b/>
          <w:bCs/>
          <w:sz w:val="28"/>
          <w:lang w:val="en-GB" w:eastAsia="ko-KR"/>
        </w:rPr>
        <w:tab/>
      </w:r>
      <w:r w:rsidR="00DC5DD7" w:rsidRPr="00DC5DD7">
        <w:rPr>
          <w:rFonts w:eastAsia="Malgun Gothic"/>
          <w:b/>
          <w:bCs/>
          <w:sz w:val="28"/>
          <w:lang w:val="en-GB"/>
        </w:rPr>
        <w:t>R4-1802336</w:t>
      </w:r>
    </w:p>
    <w:p w14:paraId="0D3983F9" w14:textId="77777777" w:rsidR="00642BD3" w:rsidRPr="00DE4417" w:rsidRDefault="00642BD3" w:rsidP="00642BD3">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Athens</w:t>
      </w:r>
      <w:r w:rsidRPr="00DE4417">
        <w:rPr>
          <w:rFonts w:eastAsia="Malgun Gothic"/>
          <w:b/>
          <w:bCs/>
          <w:sz w:val="28"/>
          <w:lang w:val="en-GB" w:eastAsia="ko-KR"/>
        </w:rPr>
        <w:t xml:space="preserve">, </w:t>
      </w:r>
      <w:r>
        <w:rPr>
          <w:rFonts w:eastAsia="Malgun Gothic"/>
          <w:b/>
          <w:bCs/>
          <w:sz w:val="28"/>
          <w:lang w:val="en-GB" w:eastAsia="ko-KR"/>
        </w:rPr>
        <w:t>Greece</w:t>
      </w:r>
      <w:r w:rsidRPr="00DE4417">
        <w:rPr>
          <w:rFonts w:eastAsia="Malgun Gothic"/>
          <w:b/>
          <w:bCs/>
          <w:sz w:val="28"/>
          <w:lang w:val="en-GB" w:eastAsia="ko-KR"/>
        </w:rPr>
        <w:t>, 2</w:t>
      </w:r>
      <w:r>
        <w:rPr>
          <w:rFonts w:eastAsia="Malgun Gothic"/>
          <w:b/>
          <w:bCs/>
          <w:sz w:val="28"/>
          <w:lang w:val="en-GB" w:eastAsia="ko-KR"/>
        </w:rPr>
        <w:t>6 February</w:t>
      </w:r>
      <w:r w:rsidRPr="00DE4417">
        <w:rPr>
          <w:rFonts w:eastAsia="Malgun Gothic"/>
          <w:b/>
          <w:bCs/>
          <w:sz w:val="28"/>
          <w:lang w:val="en-GB" w:eastAsia="ko-KR"/>
        </w:rPr>
        <w:t xml:space="preserve"> - </w:t>
      </w:r>
      <w:r>
        <w:rPr>
          <w:rFonts w:eastAsia="Malgun Gothic"/>
          <w:b/>
          <w:bCs/>
          <w:sz w:val="28"/>
          <w:lang w:val="en-GB" w:eastAsia="ko-KR"/>
        </w:rPr>
        <w:t>2 March</w:t>
      </w:r>
      <w:r w:rsidRPr="00DE4417">
        <w:rPr>
          <w:rFonts w:eastAsia="Malgun Gothic"/>
          <w:b/>
          <w:bCs/>
          <w:sz w:val="28"/>
          <w:lang w:val="en-GB" w:eastAsia="ko-KR"/>
        </w:rPr>
        <w:t xml:space="preserve"> 2018</w:t>
      </w:r>
    </w:p>
    <w:p w14:paraId="7288A3C6" w14:textId="77777777" w:rsidR="00642BD3" w:rsidRPr="00DE4417" w:rsidRDefault="00642BD3" w:rsidP="00642BD3">
      <w:pPr>
        <w:rPr>
          <w:bCs/>
          <w:lang w:val="en-GB"/>
        </w:rPr>
      </w:pPr>
      <w:r w:rsidRPr="00DE4417">
        <w:rPr>
          <w:b/>
          <w:lang w:val="en-GB"/>
        </w:rPr>
        <w:t>Source:</w:t>
      </w:r>
      <w:r w:rsidRPr="00DE4417">
        <w:rPr>
          <w:b/>
          <w:lang w:val="en-GB"/>
        </w:rPr>
        <w:tab/>
      </w:r>
      <w:r w:rsidRPr="00DE4417">
        <w:rPr>
          <w:b/>
          <w:lang w:val="en-GB"/>
        </w:rPr>
        <w:tab/>
      </w:r>
      <w:r>
        <w:rPr>
          <w:lang w:val="en-GB"/>
        </w:rPr>
        <w:t xml:space="preserve">Rohde &amp; </w:t>
      </w:r>
      <w:r w:rsidRPr="00DE4417">
        <w:rPr>
          <w:lang w:val="en-GB"/>
        </w:rPr>
        <w:t>Schwarz</w:t>
      </w:r>
    </w:p>
    <w:p w14:paraId="7EFFC53B" w14:textId="7B6C21A7" w:rsidR="00642BD3" w:rsidRPr="00DE4417" w:rsidRDefault="00642BD3" w:rsidP="00642BD3">
      <w:pPr>
        <w:ind w:left="2160" w:hanging="2160"/>
        <w:rPr>
          <w:b/>
          <w:lang w:val="en-GB"/>
        </w:rPr>
      </w:pPr>
      <w:r w:rsidRPr="00DE4417">
        <w:rPr>
          <w:b/>
          <w:lang w:val="en-GB"/>
        </w:rPr>
        <w:t>Title:</w:t>
      </w:r>
      <w:r w:rsidRPr="00DE4417">
        <w:rPr>
          <w:b/>
          <w:lang w:val="en-GB"/>
        </w:rPr>
        <w:tab/>
      </w:r>
      <w:r w:rsidR="001D707D">
        <w:rPr>
          <w:lang w:val="en-GB"/>
        </w:rPr>
        <w:t>On Peak Directions</w:t>
      </w:r>
      <w:r w:rsidR="007D0D81">
        <w:rPr>
          <w:lang w:val="en-GB"/>
        </w:rPr>
        <w:t xml:space="preserve"> for FR2</w:t>
      </w:r>
    </w:p>
    <w:p w14:paraId="353E74A0" w14:textId="28525B5F" w:rsidR="00642BD3" w:rsidRPr="00DE4417" w:rsidRDefault="00642BD3" w:rsidP="00642BD3">
      <w:pPr>
        <w:rPr>
          <w:bCs/>
          <w:lang w:val="en-GB" w:eastAsia="ja-JP"/>
        </w:rPr>
      </w:pPr>
      <w:r w:rsidRPr="00DE4417">
        <w:rPr>
          <w:b/>
          <w:lang w:val="en-GB"/>
        </w:rPr>
        <w:t>Agenda Item:</w:t>
      </w:r>
      <w:r w:rsidRPr="00DE4417">
        <w:rPr>
          <w:lang w:val="en-GB"/>
        </w:rPr>
        <w:tab/>
      </w:r>
      <w:r w:rsidRPr="00DE4417">
        <w:rPr>
          <w:lang w:val="en-GB"/>
        </w:rPr>
        <w:tab/>
      </w:r>
      <w:r w:rsidR="00DC5DD7">
        <w:rPr>
          <w:lang w:val="en-GB"/>
        </w:rPr>
        <w:t>7.4.8</w:t>
      </w:r>
    </w:p>
    <w:p w14:paraId="380CF245" w14:textId="77777777" w:rsidR="00642BD3" w:rsidRPr="00DE4417" w:rsidRDefault="00642BD3" w:rsidP="00642BD3">
      <w:pPr>
        <w:rPr>
          <w:sz w:val="18"/>
          <w:szCs w:val="18"/>
          <w:lang w:val="en-GB"/>
        </w:rPr>
      </w:pPr>
      <w:r w:rsidRPr="00DE4417">
        <w:rPr>
          <w:b/>
          <w:lang w:val="en-GB"/>
        </w:rPr>
        <w:t>Document for:</w:t>
      </w:r>
      <w:r w:rsidRPr="00DE4417">
        <w:rPr>
          <w:lang w:val="en-GB"/>
        </w:rPr>
        <w:tab/>
        <w:t>Approval</w:t>
      </w:r>
    </w:p>
    <w:p w14:paraId="7CA60390" w14:textId="77777777" w:rsidR="00B81FC7" w:rsidRPr="00783B2D" w:rsidRDefault="00B81FC7" w:rsidP="00B81FC7">
      <w:pPr>
        <w:pStyle w:val="Heading1"/>
        <w:rPr>
          <w:rFonts w:cs="Arial"/>
        </w:rPr>
      </w:pPr>
      <w:r w:rsidRPr="00783B2D">
        <w:rPr>
          <w:rFonts w:cs="Arial"/>
        </w:rPr>
        <w:t>Introduction</w:t>
      </w:r>
    </w:p>
    <w:p w14:paraId="1D922F53" w14:textId="2D9EA935" w:rsidR="005F37CF" w:rsidRPr="00783B2D" w:rsidRDefault="007913E8" w:rsidP="008159B1">
      <w:pPr>
        <w:jc w:val="both"/>
        <w:rPr>
          <w:lang w:val="en-GB"/>
        </w:rPr>
      </w:pPr>
      <w:bookmarkStart w:id="0" w:name="OLE_LINK10"/>
      <w:bookmarkStart w:id="1" w:name="OLE_LINK11"/>
      <w:r>
        <w:rPr>
          <w:lang w:val="en-GB"/>
        </w:rPr>
        <w:t xml:space="preserve">This contribution clarifies the peak direction for EIRP based tests, currently referred to as beam peak direction, and the peak direction for RX tests, currently referred to as peak gain direction. </w:t>
      </w:r>
    </w:p>
    <w:p w14:paraId="59D92B3E" w14:textId="3BB7CC8E" w:rsidR="00FC45FA" w:rsidRPr="00783B2D" w:rsidRDefault="002A659B" w:rsidP="00FC45FA">
      <w:pPr>
        <w:pStyle w:val="Heading1"/>
        <w:rPr>
          <w:rFonts w:cs="Arial"/>
        </w:rPr>
      </w:pPr>
      <w:r w:rsidRPr="00783B2D">
        <w:rPr>
          <w:rFonts w:cs="Arial"/>
        </w:rPr>
        <w:t>Discussion</w:t>
      </w:r>
    </w:p>
    <w:p w14:paraId="27392FE5" w14:textId="0C3C3232" w:rsidR="007913E8" w:rsidRDefault="007913E8" w:rsidP="00D821C8">
      <w:pPr>
        <w:rPr>
          <w:lang w:val="en-GB"/>
        </w:rPr>
      </w:pPr>
      <w:r>
        <w:rPr>
          <w:lang w:val="en-GB"/>
        </w:rPr>
        <w:t>In</w:t>
      </w:r>
      <w:r w:rsidRPr="00783B2D">
        <w:rPr>
          <w:lang w:val="en-GB"/>
        </w:rPr>
        <w:t xml:space="preserve"> RAN4#</w:t>
      </w:r>
      <w:r>
        <w:rPr>
          <w:lang w:val="en-GB"/>
        </w:rPr>
        <w:t>1801AH</w:t>
      </w:r>
      <w:r w:rsidRPr="00783B2D">
        <w:rPr>
          <w:lang w:val="en-GB"/>
        </w:rPr>
        <w:t xml:space="preserve">, the group </w:t>
      </w:r>
      <w:r>
        <w:rPr>
          <w:lang w:val="en-GB"/>
        </w:rPr>
        <w:t xml:space="preserve">agreed to define the peak direction for EIRP based on the direction where the total EIRP, i.e., the combination of the two EIRPs measured at orthogonal polarizations, is maximized </w:t>
      </w:r>
      <w:r>
        <w:rPr>
          <w:lang w:val="en-GB"/>
        </w:rPr>
        <w:fldChar w:fldCharType="begin"/>
      </w:r>
      <w:r>
        <w:rPr>
          <w:lang w:val="en-GB"/>
        </w:rPr>
        <w:instrText xml:space="preserve"> REF _Ref506467810 \r \h </w:instrText>
      </w:r>
      <w:r>
        <w:rPr>
          <w:lang w:val="en-GB"/>
        </w:rPr>
      </w:r>
      <w:r>
        <w:rPr>
          <w:lang w:val="en-GB"/>
        </w:rPr>
        <w:fldChar w:fldCharType="separate"/>
      </w:r>
      <w:r>
        <w:rPr>
          <w:lang w:val="en-GB"/>
        </w:rPr>
        <w:t>[1]</w:t>
      </w:r>
      <w:r>
        <w:rPr>
          <w:lang w:val="en-GB"/>
        </w:rPr>
        <w:fldChar w:fldCharType="end"/>
      </w:r>
      <w:r>
        <w:rPr>
          <w:lang w:val="en-GB"/>
        </w:rPr>
        <w:t xml:space="preserve">. </w:t>
      </w:r>
      <w:bookmarkStart w:id="2" w:name="OLE_LINK22"/>
      <w:bookmarkStart w:id="3" w:name="OLE_LINK23"/>
      <w:bookmarkStart w:id="4" w:name="OLE_LINK24"/>
      <w:r>
        <w:rPr>
          <w:lang w:val="en-GB"/>
        </w:rPr>
        <w:t>T</w:t>
      </w:r>
      <w:r w:rsidR="00B765D7">
        <w:rPr>
          <w:lang w:val="en-GB"/>
        </w:rPr>
        <w:t>his direction</w:t>
      </w:r>
      <w:r>
        <w:rPr>
          <w:lang w:val="en-GB"/>
        </w:rPr>
        <w:t xml:space="preserve"> is</w:t>
      </w:r>
      <w:r w:rsidR="00B765D7">
        <w:rPr>
          <w:lang w:val="en-GB"/>
        </w:rPr>
        <w:t xml:space="preserve"> </w:t>
      </w:r>
      <w:r w:rsidR="007D0D81">
        <w:rPr>
          <w:lang w:val="en-GB"/>
        </w:rPr>
        <w:t>currently</w:t>
      </w:r>
      <w:r>
        <w:rPr>
          <w:lang w:val="en-GB"/>
        </w:rPr>
        <w:t xml:space="preserve"> referred</w:t>
      </w:r>
      <w:r w:rsidR="00B765D7">
        <w:rPr>
          <w:lang w:val="en-GB"/>
        </w:rPr>
        <w:t xml:space="preserve"> to </w:t>
      </w:r>
      <w:r w:rsidR="007D0D81">
        <w:rPr>
          <w:lang w:val="en-GB"/>
        </w:rPr>
        <w:t xml:space="preserve">as </w:t>
      </w:r>
      <w:r w:rsidR="00B765D7">
        <w:rPr>
          <w:lang w:val="en-GB"/>
        </w:rPr>
        <w:t xml:space="preserve">beam peak direction in </w:t>
      </w:r>
      <w:bookmarkEnd w:id="2"/>
      <w:bookmarkEnd w:id="3"/>
      <w:bookmarkEnd w:id="4"/>
      <w:r w:rsidR="00B765D7">
        <w:rPr>
          <w:lang w:val="en-GB"/>
        </w:rPr>
        <w:fldChar w:fldCharType="begin"/>
      </w:r>
      <w:r w:rsidR="00B765D7">
        <w:rPr>
          <w:lang w:val="en-GB"/>
        </w:rPr>
        <w:instrText xml:space="preserve"> REF _Ref506468012 \r \h </w:instrText>
      </w:r>
      <w:r w:rsidR="00B765D7">
        <w:rPr>
          <w:lang w:val="en-GB"/>
        </w:rPr>
      </w:r>
      <w:r w:rsidR="00B765D7">
        <w:rPr>
          <w:lang w:val="en-GB"/>
        </w:rPr>
        <w:fldChar w:fldCharType="separate"/>
      </w:r>
      <w:r w:rsidR="00B765D7">
        <w:rPr>
          <w:lang w:val="en-GB"/>
        </w:rPr>
        <w:t>[2]</w:t>
      </w:r>
      <w:r w:rsidR="00B765D7">
        <w:rPr>
          <w:lang w:val="en-GB"/>
        </w:rPr>
        <w:fldChar w:fldCharType="end"/>
      </w:r>
      <w:r w:rsidR="00B765D7">
        <w:rPr>
          <w:lang w:val="en-GB"/>
        </w:rPr>
        <w:t>.</w:t>
      </w:r>
    </w:p>
    <w:p w14:paraId="43585988" w14:textId="2E0A0C7E" w:rsidR="002B6956" w:rsidRDefault="007D0D81" w:rsidP="00D821C8">
      <w:pPr>
        <w:rPr>
          <w:lang w:val="en-GB"/>
        </w:rPr>
      </w:pPr>
      <w:r>
        <w:rPr>
          <w:lang w:val="en-GB"/>
        </w:rPr>
        <w:t xml:space="preserve">It was furthermore agreed to define the peak direction for REFSENS based on the same approach, i.e., based on the total component of RSRP/EIS. </w:t>
      </w:r>
      <w:r w:rsidR="002B6956">
        <w:rPr>
          <w:lang w:val="en-GB"/>
        </w:rPr>
        <w:t xml:space="preserve">This direction is </w:t>
      </w:r>
      <w:r>
        <w:rPr>
          <w:lang w:val="en-GB"/>
        </w:rPr>
        <w:t>currently</w:t>
      </w:r>
      <w:r w:rsidR="002B6956">
        <w:rPr>
          <w:lang w:val="en-GB"/>
        </w:rPr>
        <w:t xml:space="preserve"> referred to </w:t>
      </w:r>
      <w:r>
        <w:rPr>
          <w:lang w:val="en-GB"/>
        </w:rPr>
        <w:t xml:space="preserve">as </w:t>
      </w:r>
      <w:r w:rsidR="002B6956">
        <w:rPr>
          <w:lang w:val="en-GB"/>
        </w:rPr>
        <w:t xml:space="preserve">peak gain direction in </w:t>
      </w:r>
      <w:r w:rsidR="002B6956">
        <w:rPr>
          <w:lang w:val="en-GB"/>
        </w:rPr>
        <w:fldChar w:fldCharType="begin"/>
      </w:r>
      <w:r w:rsidR="002B6956">
        <w:rPr>
          <w:lang w:val="en-GB"/>
        </w:rPr>
        <w:instrText xml:space="preserve"> REF _Ref506468012 \r \h </w:instrText>
      </w:r>
      <w:r w:rsidR="002B6956">
        <w:rPr>
          <w:lang w:val="en-GB"/>
        </w:rPr>
      </w:r>
      <w:r w:rsidR="002B6956">
        <w:rPr>
          <w:lang w:val="en-GB"/>
        </w:rPr>
        <w:fldChar w:fldCharType="separate"/>
      </w:r>
      <w:r w:rsidR="002B6956">
        <w:rPr>
          <w:lang w:val="en-GB"/>
        </w:rPr>
        <w:t>[2]</w:t>
      </w:r>
      <w:r w:rsidR="002B6956">
        <w:rPr>
          <w:lang w:val="en-GB"/>
        </w:rPr>
        <w:fldChar w:fldCharType="end"/>
      </w:r>
      <w:r w:rsidR="002B6956">
        <w:rPr>
          <w:lang w:val="en-GB"/>
        </w:rPr>
        <w:t>.</w:t>
      </w:r>
    </w:p>
    <w:p w14:paraId="6EFF35C3" w14:textId="2587E01F" w:rsidR="002B6956" w:rsidRPr="002B6956" w:rsidRDefault="002B6956" w:rsidP="00D821C8">
      <w:pPr>
        <w:rPr>
          <w:b/>
          <w:lang w:val="en-GB"/>
        </w:rPr>
      </w:pPr>
      <w:r w:rsidRPr="002B6956">
        <w:rPr>
          <w:b/>
          <w:lang w:val="en-GB"/>
        </w:rPr>
        <w:t xml:space="preserve">Observation 1: The references for the peak direction (beam peak direction for EIRP/TX cases and peak gain direction for REFSENS/RX test cases) </w:t>
      </w:r>
      <w:r w:rsidR="007D0D81">
        <w:rPr>
          <w:b/>
          <w:lang w:val="en-GB"/>
        </w:rPr>
        <w:t>are</w:t>
      </w:r>
      <w:r w:rsidRPr="002B6956">
        <w:rPr>
          <w:b/>
          <w:lang w:val="en-GB"/>
        </w:rPr>
        <w:t xml:space="preserve"> not intuitive.</w:t>
      </w:r>
    </w:p>
    <w:p w14:paraId="62A04284" w14:textId="2F439F31" w:rsidR="002B6956" w:rsidRDefault="002B6956" w:rsidP="00D821C8">
      <w:pPr>
        <w:rPr>
          <w:lang w:val="en-GB"/>
        </w:rPr>
      </w:pPr>
      <w:r>
        <w:rPr>
          <w:lang w:val="en-GB"/>
        </w:rPr>
        <w:t xml:space="preserve">It is therefore proposed to reference respective peak directions more clearly, i.e., TX beam direction vs RX beam direction. </w:t>
      </w:r>
    </w:p>
    <w:p w14:paraId="1FE594D6" w14:textId="078857E9" w:rsidR="005247FF" w:rsidRDefault="002B6956" w:rsidP="001D707D">
      <w:pPr>
        <w:rPr>
          <w:b/>
          <w:lang w:val="en-GB"/>
        </w:rPr>
      </w:pPr>
      <w:r w:rsidRPr="002B6956">
        <w:rPr>
          <w:b/>
          <w:lang w:val="en-GB"/>
        </w:rPr>
        <w:t xml:space="preserve">Proposal 1: </w:t>
      </w:r>
      <w:r>
        <w:rPr>
          <w:b/>
          <w:lang w:val="en-GB"/>
        </w:rPr>
        <w:t xml:space="preserve">Reference </w:t>
      </w:r>
      <w:bookmarkStart w:id="5" w:name="OLE_LINK25"/>
      <w:bookmarkStart w:id="6" w:name="OLE_LINK26"/>
      <w:r>
        <w:rPr>
          <w:b/>
          <w:lang w:val="en-GB"/>
        </w:rPr>
        <w:t>the peak direction for TX test cases as the TX beam peak direction (instead of beam peak direction)</w:t>
      </w:r>
      <w:bookmarkEnd w:id="5"/>
      <w:bookmarkEnd w:id="6"/>
      <w:r>
        <w:rPr>
          <w:b/>
          <w:lang w:val="en-GB"/>
        </w:rPr>
        <w:t xml:space="preserve"> and the peak direction for RX test cases as the RX beam peak direction (instead of peak gain direction)</w:t>
      </w:r>
    </w:p>
    <w:p w14:paraId="7E2D3014" w14:textId="3D428984" w:rsidR="002B6956" w:rsidRDefault="002B6956" w:rsidP="002B6956">
      <w:pPr>
        <w:pStyle w:val="Heading2"/>
        <w:rPr>
          <w:lang w:val="en-US"/>
        </w:rPr>
      </w:pPr>
      <w:r>
        <w:rPr>
          <w:lang w:val="en-US"/>
        </w:rPr>
        <w:t>TX Beam Direction</w:t>
      </w:r>
    </w:p>
    <w:p w14:paraId="4EC744B9" w14:textId="666B579E" w:rsidR="00045794" w:rsidRDefault="00045794" w:rsidP="005247FF">
      <w:pPr>
        <w:rPr>
          <w:lang w:val="en-GB" w:eastAsia="en-US"/>
        </w:rPr>
      </w:pPr>
      <w:r>
        <w:rPr>
          <w:lang w:eastAsia="en-US"/>
        </w:rPr>
        <w:t>As agreed</w:t>
      </w:r>
      <w:r w:rsidR="002B6956">
        <w:rPr>
          <w:lang w:eastAsia="en-US"/>
        </w:rPr>
        <w:t xml:space="preserve"> in </w:t>
      </w:r>
      <w:r w:rsidR="002B6956">
        <w:rPr>
          <w:lang w:eastAsia="en-US"/>
        </w:rPr>
        <w:fldChar w:fldCharType="begin"/>
      </w:r>
      <w:r w:rsidR="002B6956">
        <w:rPr>
          <w:lang w:eastAsia="en-US"/>
        </w:rPr>
        <w:instrText xml:space="preserve"> REF _Ref506467810 \r \h </w:instrText>
      </w:r>
      <w:r w:rsidR="002B6956">
        <w:rPr>
          <w:lang w:eastAsia="en-US"/>
        </w:rPr>
      </w:r>
      <w:r w:rsidR="002B6956">
        <w:rPr>
          <w:lang w:eastAsia="en-US"/>
        </w:rPr>
        <w:fldChar w:fldCharType="separate"/>
      </w:r>
      <w:r w:rsidR="002B6956">
        <w:rPr>
          <w:lang w:eastAsia="en-US"/>
        </w:rPr>
        <w:t>[1]</w:t>
      </w:r>
      <w:r w:rsidR="002B6956">
        <w:rPr>
          <w:lang w:eastAsia="en-US"/>
        </w:rPr>
        <w:fldChar w:fldCharType="end"/>
      </w:r>
      <w:r w:rsidR="002B6956">
        <w:rPr>
          <w:lang w:eastAsia="en-US"/>
        </w:rPr>
        <w:t xml:space="preserve">, </w:t>
      </w:r>
      <w:r w:rsidR="00624042">
        <w:rPr>
          <w:lang w:eastAsia="en-US"/>
        </w:rPr>
        <w:t xml:space="preserve">the </w:t>
      </w:r>
      <w:r w:rsidR="002B6956">
        <w:rPr>
          <w:lang w:eastAsia="en-US"/>
        </w:rPr>
        <w:t>TX beam peak direction</w:t>
      </w:r>
      <w:r w:rsidR="002B6956">
        <w:rPr>
          <w:lang w:val="en-GB" w:eastAsia="en-US"/>
        </w:rPr>
        <w:t xml:space="preserve"> </w:t>
      </w:r>
      <w:r w:rsidR="00624042">
        <w:rPr>
          <w:lang w:val="en-GB" w:eastAsia="en-US"/>
        </w:rPr>
        <w:t xml:space="preserve">is defined </w:t>
      </w:r>
      <w:r w:rsidR="00A81FB7">
        <w:rPr>
          <w:lang w:val="en-GB" w:eastAsia="en-US"/>
        </w:rPr>
        <w:t>as the</w:t>
      </w:r>
      <w:r w:rsidR="006C3FA8">
        <w:rPr>
          <w:lang w:val="en-GB" w:eastAsia="en-US"/>
        </w:rPr>
        <w:t xml:space="preserve"> direction where the total EIRP, i.e., the sum of EIRP components measured at orthogonal </w:t>
      </w:r>
      <w:bookmarkStart w:id="7" w:name="OLE_LINK33"/>
      <w:bookmarkStart w:id="8" w:name="OLE_LINK34"/>
      <w:bookmarkStart w:id="9" w:name="OLE_LINK35"/>
      <w:r w:rsidR="006C3FA8">
        <w:rPr>
          <w:lang w:val="en-GB" w:eastAsia="en-US"/>
        </w:rPr>
        <w:t>components</w:t>
      </w:r>
      <w:bookmarkEnd w:id="7"/>
      <w:bookmarkEnd w:id="8"/>
      <w:bookmarkEnd w:id="9"/>
      <w:r w:rsidR="006C3FA8">
        <w:rPr>
          <w:lang w:val="en-GB" w:eastAsia="en-US"/>
        </w:rPr>
        <w:t xml:space="preserve">, </w:t>
      </w:r>
      <w:r w:rsidR="006C3FA8" w:rsidRPr="00D0031A">
        <w:rPr>
          <w:rFonts w:ascii="Symbol" w:hAnsi="Symbol"/>
          <w:lang w:val="en-GB"/>
        </w:rPr>
        <w:t></w:t>
      </w:r>
      <w:r w:rsidR="006C3FA8" w:rsidRPr="006C3FA8">
        <w:rPr>
          <w:lang w:val="en-GB"/>
        </w:rPr>
        <w:t xml:space="preserve"> and </w:t>
      </w:r>
      <w:r w:rsidR="006C3FA8" w:rsidRPr="00D0031A">
        <w:rPr>
          <w:rFonts w:ascii="Symbol" w:hAnsi="Symbol"/>
          <w:lang w:val="en-GB"/>
        </w:rPr>
        <w:t></w:t>
      </w:r>
      <w:r w:rsidR="006C3FA8">
        <w:rPr>
          <w:rFonts w:ascii="Symbol" w:hAnsi="Symbol"/>
          <w:lang w:val="en-GB"/>
        </w:rPr>
        <w:t></w:t>
      </w:r>
      <w:r w:rsidR="006C3FA8">
        <w:rPr>
          <w:rFonts w:ascii="Symbol" w:hAnsi="Symbol"/>
          <w:lang w:val="en-GB"/>
        </w:rPr>
        <w:t></w:t>
      </w:r>
      <w:r w:rsidR="00A81FB7">
        <w:rPr>
          <w:lang w:val="en-GB" w:eastAsia="en-US"/>
        </w:rPr>
        <w:t xml:space="preserve"> </w:t>
      </w:r>
      <w:r w:rsidR="006C3FA8">
        <w:rPr>
          <w:lang w:val="en-GB" w:eastAsia="en-US"/>
        </w:rPr>
        <w:t xml:space="preserve">is maximized. In </w:t>
      </w:r>
      <w:r w:rsidR="006C3FA8">
        <w:rPr>
          <w:lang w:val="en-GB" w:eastAsia="en-US"/>
        </w:rPr>
        <w:fldChar w:fldCharType="begin"/>
      </w:r>
      <w:r w:rsidR="006C3FA8">
        <w:rPr>
          <w:lang w:val="en-GB" w:eastAsia="en-US"/>
        </w:rPr>
        <w:instrText xml:space="preserve"> REF _Ref506467810 \r \h </w:instrText>
      </w:r>
      <w:r w:rsidR="006C3FA8">
        <w:rPr>
          <w:lang w:val="en-GB" w:eastAsia="en-US"/>
        </w:rPr>
      </w:r>
      <w:r w:rsidR="006C3FA8">
        <w:rPr>
          <w:lang w:val="en-GB" w:eastAsia="en-US"/>
        </w:rPr>
        <w:fldChar w:fldCharType="separate"/>
      </w:r>
      <w:r w:rsidR="006C3FA8">
        <w:rPr>
          <w:lang w:val="en-GB" w:eastAsia="en-US"/>
        </w:rPr>
        <w:t>[1]</w:t>
      </w:r>
      <w:r w:rsidR="006C3FA8">
        <w:rPr>
          <w:lang w:val="en-GB" w:eastAsia="en-US"/>
        </w:rPr>
        <w:fldChar w:fldCharType="end"/>
      </w:r>
      <w:r w:rsidR="006C3FA8">
        <w:rPr>
          <w:lang w:val="en-GB" w:eastAsia="en-US"/>
        </w:rPr>
        <w:t xml:space="preserve">, the total component was incorrectly defined as the average instead of summation of EIRP components </w:t>
      </w:r>
      <w:r w:rsidR="005247FF">
        <w:rPr>
          <w:lang w:val="en-GB" w:eastAsia="en-US"/>
        </w:rPr>
        <w:t>(</w:t>
      </w:r>
      <w:r w:rsidR="005247FF" w:rsidRPr="005247FF">
        <w:rPr>
          <w:lang w:val="en-GB" w:eastAsia="en-US"/>
        </w:rPr>
        <w:t>power in</w:t>
      </w:r>
      <w:r w:rsidR="005247FF">
        <w:rPr>
          <w:lang w:val="en-GB" w:eastAsia="en-US"/>
        </w:rPr>
        <w:t xml:space="preserve"> </w:t>
      </w:r>
      <w:r w:rsidR="005247FF" w:rsidRPr="005247FF">
        <w:rPr>
          <w:lang w:val="en-GB" w:eastAsia="en-US"/>
        </w:rPr>
        <w:t xml:space="preserve">independent components </w:t>
      </w:r>
      <w:r w:rsidR="005247FF">
        <w:rPr>
          <w:lang w:val="en-GB" w:eastAsia="en-US"/>
        </w:rPr>
        <w:t>adds)</w:t>
      </w:r>
      <w:r w:rsidR="006C3FA8">
        <w:rPr>
          <w:lang w:val="en-GB" w:eastAsia="en-US"/>
        </w:rPr>
        <w:t>.</w:t>
      </w:r>
      <w:r w:rsidR="005247FF">
        <w:rPr>
          <w:lang w:val="en-GB" w:eastAsia="en-US"/>
        </w:rPr>
        <w:t xml:space="preserve"> The definition of the TX beam direction requires the </w:t>
      </w:r>
      <w:r w:rsidR="002B6956">
        <w:rPr>
          <w:lang w:val="en-GB" w:eastAsia="en-US"/>
        </w:rPr>
        <w:t>knowledge of the EIRP values for each orthogonal component, EIRP</w:t>
      </w:r>
      <w:r w:rsidR="002B6956" w:rsidRPr="007516B6">
        <w:rPr>
          <w:rFonts w:ascii="Symbol" w:hAnsi="Symbol"/>
          <w:vertAlign w:val="subscript"/>
          <w:lang w:val="en-GB" w:eastAsia="en-US"/>
        </w:rPr>
        <w:t></w:t>
      </w:r>
      <w:r w:rsidR="002B6956">
        <w:rPr>
          <w:lang w:val="en-GB" w:eastAsia="en-US"/>
        </w:rPr>
        <w:t xml:space="preserve"> and EIRP</w:t>
      </w:r>
      <w:r w:rsidR="002B6956" w:rsidRPr="007516B6">
        <w:rPr>
          <w:rFonts w:ascii="Symbol" w:hAnsi="Symbol"/>
          <w:vertAlign w:val="subscript"/>
          <w:lang w:val="en-GB" w:eastAsia="en-US"/>
        </w:rPr>
        <w:t></w:t>
      </w:r>
      <w:r w:rsidR="002B6956">
        <w:rPr>
          <w:lang w:val="en-GB" w:eastAsia="en-US"/>
        </w:rPr>
        <w:t xml:space="preserve">, e.g., after a 3D EIRP measurement scan. </w:t>
      </w:r>
    </w:p>
    <w:p w14:paraId="0F50FAF1" w14:textId="35D262A9" w:rsidR="005247FF" w:rsidRDefault="005247FF" w:rsidP="005247FF">
      <w:pPr>
        <w:rPr>
          <w:lang w:val="en-GB"/>
        </w:rPr>
      </w:pPr>
      <w:r>
        <w:rPr>
          <w:lang w:val="en-GB" w:eastAsia="en-US"/>
        </w:rPr>
        <w:t xml:space="preserve">The </w:t>
      </w:r>
      <w:bookmarkStart w:id="10" w:name="OLE_LINK3"/>
      <w:bookmarkStart w:id="11" w:name="OLE_LINK4"/>
      <w:bookmarkStart w:id="12" w:name="OLE_LINK41"/>
      <w:r w:rsidR="00C249DE">
        <w:rPr>
          <w:lang w:val="en-GB" w:eastAsia="en-US"/>
        </w:rPr>
        <w:t xml:space="preserve">TX </w:t>
      </w:r>
      <w:r>
        <w:rPr>
          <w:lang w:val="en-GB" w:eastAsia="en-US"/>
        </w:rPr>
        <w:t>b</w:t>
      </w:r>
      <w:r>
        <w:rPr>
          <w:lang w:val="en-GB"/>
        </w:rPr>
        <w:t>eam peak</w:t>
      </w:r>
      <w:r w:rsidRPr="00D0031A">
        <w:rPr>
          <w:lang w:val="en-GB"/>
        </w:rPr>
        <w:t xml:space="preserve"> direction </w:t>
      </w:r>
      <w:r w:rsidRPr="00D0031A">
        <w:rPr>
          <w:rFonts w:ascii="Symbol" w:hAnsi="Symbol"/>
          <w:lang w:val="en-GB"/>
        </w:rPr>
        <w:t></w:t>
      </w:r>
      <w:r w:rsidRPr="00D0031A">
        <w:rPr>
          <w:rFonts w:ascii="Symbol" w:hAnsi="Symbol"/>
          <w:lang w:val="en-GB"/>
        </w:rPr>
        <w:t></w:t>
      </w:r>
      <w:r w:rsidR="00045794" w:rsidRPr="00045794">
        <w:rPr>
          <w:vertAlign w:val="subscript"/>
          <w:lang w:val="en-GB"/>
        </w:rPr>
        <w:t>TX</w:t>
      </w:r>
      <w:r w:rsidRPr="00D0031A">
        <w:rPr>
          <w:vertAlign w:val="subscript"/>
          <w:lang w:val="en-GB"/>
        </w:rPr>
        <w:t>peak,T</w:t>
      </w:r>
      <w:r w:rsidRPr="00D0031A">
        <w:rPr>
          <w:rFonts w:ascii="Symbol" w:hAnsi="Symbol"/>
          <w:lang w:val="en-GB"/>
        </w:rPr>
        <w:t></w:t>
      </w:r>
      <w:r w:rsidRPr="00D0031A">
        <w:rPr>
          <w:rFonts w:ascii="Symbol" w:hAnsi="Symbol"/>
          <w:lang w:val="en-GB"/>
        </w:rPr>
        <w:t></w:t>
      </w:r>
      <w:r w:rsidR="00045794" w:rsidRPr="00045794">
        <w:rPr>
          <w:vertAlign w:val="subscript"/>
          <w:lang w:val="en-GB"/>
        </w:rPr>
        <w:t>TX</w:t>
      </w:r>
      <w:r w:rsidRPr="00D0031A">
        <w:rPr>
          <w:vertAlign w:val="subscript"/>
          <w:lang w:val="en-GB"/>
        </w:rPr>
        <w:t>peak,T</w:t>
      </w:r>
      <w:r w:rsidRPr="00D0031A">
        <w:rPr>
          <w:rFonts w:ascii="Symbol" w:hAnsi="Symbol"/>
          <w:lang w:val="en-GB"/>
        </w:rPr>
        <w:t></w:t>
      </w:r>
      <w:r w:rsidRPr="00D0031A">
        <w:rPr>
          <w:rFonts w:ascii="Symbol" w:hAnsi="Symbol"/>
          <w:lang w:val="en-GB"/>
        </w:rPr>
        <w:t></w:t>
      </w:r>
      <w:r w:rsidR="00C249DE">
        <w:rPr>
          <w:lang w:val="en-GB"/>
        </w:rPr>
        <w:t xml:space="preserve">is where the maximum EIRP component </w:t>
      </w:r>
      <w:r>
        <w:rPr>
          <w:lang w:val="en-GB"/>
        </w:rPr>
        <w:t>EIRP</w:t>
      </w:r>
      <w:r w:rsidRPr="00D0031A">
        <w:rPr>
          <w:vertAlign w:val="subscript"/>
          <w:lang w:val="en-GB"/>
        </w:rPr>
        <w:t>peak,T</w:t>
      </w:r>
      <w:r w:rsidRPr="00D0031A">
        <w:rPr>
          <w:rFonts w:ascii="Symbol" w:hAnsi="Symbol"/>
          <w:lang w:val="en-GB"/>
        </w:rPr>
        <w:t></w:t>
      </w:r>
      <w:r w:rsidRPr="00D0031A">
        <w:rPr>
          <w:rFonts w:ascii="Symbol" w:hAnsi="Symbol"/>
          <w:lang w:val="en-GB"/>
        </w:rPr>
        <w:t></w:t>
      </w:r>
      <w:r w:rsidR="00045794" w:rsidRPr="00045794">
        <w:rPr>
          <w:vertAlign w:val="subscript"/>
          <w:lang w:val="en-GB"/>
        </w:rPr>
        <w:t>TX</w:t>
      </w:r>
      <w:r w:rsidRPr="00D0031A">
        <w:rPr>
          <w:vertAlign w:val="subscript"/>
          <w:lang w:val="en-GB"/>
        </w:rPr>
        <w:t>peak,T</w:t>
      </w:r>
      <w:r w:rsidRPr="00D0031A">
        <w:rPr>
          <w:rFonts w:ascii="Symbol" w:hAnsi="Symbol"/>
          <w:lang w:val="en-GB"/>
        </w:rPr>
        <w:t></w:t>
      </w:r>
      <w:r w:rsidRPr="00D0031A">
        <w:rPr>
          <w:rFonts w:ascii="Symbol" w:hAnsi="Symbol"/>
          <w:lang w:val="en-GB"/>
        </w:rPr>
        <w:t></w:t>
      </w:r>
      <w:r w:rsidR="00045794" w:rsidRPr="00045794">
        <w:rPr>
          <w:vertAlign w:val="subscript"/>
          <w:lang w:val="en-GB"/>
        </w:rPr>
        <w:t>TX</w:t>
      </w:r>
      <w:r w:rsidRPr="00D0031A">
        <w:rPr>
          <w:vertAlign w:val="subscript"/>
          <w:lang w:val="en-GB"/>
        </w:rPr>
        <w:t>peak,T</w:t>
      </w:r>
      <w:r w:rsidRPr="00D0031A">
        <w:rPr>
          <w:lang w:val="en-GB"/>
        </w:rPr>
        <w:t xml:space="preserve">) = max [ </w:t>
      </w:r>
      <w:r>
        <w:rPr>
          <w:lang w:val="en-GB"/>
        </w:rPr>
        <w:t>EIRP</w:t>
      </w:r>
      <w:r w:rsidRPr="00D0031A">
        <w:rPr>
          <w:rFonts w:ascii="Symbol" w:hAnsi="Symbol"/>
          <w:vertAlign w:val="subscript"/>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lang w:val="en-GB"/>
        </w:rPr>
        <w:t xml:space="preserve"> + </w:t>
      </w:r>
      <w:r>
        <w:rPr>
          <w:lang w:val="en-GB"/>
        </w:rPr>
        <w:t>EIRP</w:t>
      </w:r>
      <w:r w:rsidRPr="00D0031A">
        <w:rPr>
          <w:rFonts w:ascii="Symbol" w:hAnsi="Symbol"/>
          <w:vertAlign w:val="subscript"/>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lang w:val="en-GB"/>
        </w:rPr>
        <w:t xml:space="preserve"> ]</w:t>
      </w:r>
      <w:r w:rsidR="00C249DE">
        <w:rPr>
          <w:lang w:val="en-GB"/>
        </w:rPr>
        <w:t xml:space="preserve"> is found</w:t>
      </w:r>
      <w:r w:rsidR="00045794">
        <w:rPr>
          <w:lang w:val="en-GB"/>
        </w:rPr>
        <w:t>.</w:t>
      </w:r>
    </w:p>
    <w:p w14:paraId="49A48823" w14:textId="2F347BE2" w:rsidR="00C249DE" w:rsidRDefault="00C249DE" w:rsidP="00045794">
      <w:pPr>
        <w:rPr>
          <w:b/>
          <w:lang w:val="en-GB"/>
        </w:rPr>
      </w:pPr>
      <w:r>
        <w:rPr>
          <w:b/>
          <w:lang w:val="en-GB"/>
        </w:rPr>
        <w:lastRenderedPageBreak/>
        <w:t xml:space="preserve">Proposal 2: </w:t>
      </w:r>
      <w:r w:rsidR="00045794">
        <w:rPr>
          <w:b/>
          <w:lang w:val="en-GB"/>
        </w:rPr>
        <w:t>Replace the definition for beam peak direction in Clause 3.1 of</w:t>
      </w:r>
      <w:r>
        <w:rPr>
          <w:b/>
          <w:lang w:val="en-GB"/>
        </w:rPr>
        <w:t xml:space="preserve"> 38.101-2 with the</w:t>
      </w:r>
      <w:r w:rsidR="00045794">
        <w:rPr>
          <w:b/>
          <w:lang w:val="en-GB"/>
        </w:rPr>
        <w:t xml:space="preserve"> following definition for </w:t>
      </w:r>
      <w:r>
        <w:rPr>
          <w:b/>
          <w:lang w:val="en-GB"/>
        </w:rPr>
        <w:t>TX beam</w:t>
      </w:r>
      <w:r w:rsidRPr="005247FF">
        <w:rPr>
          <w:b/>
          <w:lang w:val="en-GB"/>
        </w:rPr>
        <w:t xml:space="preserve"> peak direction: direction where the </w:t>
      </w:r>
      <w:r>
        <w:rPr>
          <w:b/>
          <w:lang w:val="en-GB"/>
        </w:rPr>
        <w:t xml:space="preserve">maximum total component of </w:t>
      </w:r>
      <w:r w:rsidRPr="005247FF">
        <w:rPr>
          <w:b/>
          <w:lang w:val="en-GB"/>
        </w:rPr>
        <w:t>EIRP is found</w:t>
      </w:r>
    </w:p>
    <w:p w14:paraId="6348C7D2" w14:textId="610CB67A" w:rsidR="00C249DE" w:rsidRDefault="000A4DEE" w:rsidP="00C249DE">
      <w:pPr>
        <w:pStyle w:val="Heading2"/>
        <w:rPr>
          <w:lang w:val="en-US"/>
        </w:rPr>
      </w:pPr>
      <w:r>
        <w:rPr>
          <w:lang w:val="en-US"/>
        </w:rPr>
        <w:t>RX Beam Direction</w:t>
      </w:r>
    </w:p>
    <w:p w14:paraId="3FC15FC8" w14:textId="0BF28EEE" w:rsidR="000A4DEE" w:rsidRDefault="00CE0471" w:rsidP="00CE0471">
      <w:pPr>
        <w:rPr>
          <w:lang w:val="en-GB" w:eastAsia="en-US"/>
        </w:rPr>
      </w:pPr>
      <w:r>
        <w:rPr>
          <w:lang w:eastAsia="en-US"/>
        </w:rPr>
        <w:t>Similar to</w:t>
      </w:r>
      <w:r w:rsidR="008979EA">
        <w:rPr>
          <w:lang w:eastAsia="en-US"/>
        </w:rPr>
        <w:t xml:space="preserve"> the </w:t>
      </w:r>
      <w:r>
        <w:rPr>
          <w:lang w:eastAsia="en-US"/>
        </w:rPr>
        <w:t>definition in</w:t>
      </w:r>
      <w:r w:rsidR="008979EA">
        <w:rPr>
          <w:lang w:eastAsia="en-US"/>
        </w:rPr>
        <w:t xml:space="preserve"> </w:t>
      </w:r>
      <w:r w:rsidR="008979EA">
        <w:rPr>
          <w:lang w:eastAsia="en-US"/>
        </w:rPr>
        <w:fldChar w:fldCharType="begin"/>
      </w:r>
      <w:r w:rsidR="008979EA">
        <w:rPr>
          <w:lang w:eastAsia="en-US"/>
        </w:rPr>
        <w:instrText xml:space="preserve"> REF _Ref506467810 \r \h </w:instrText>
      </w:r>
      <w:r w:rsidR="008979EA">
        <w:rPr>
          <w:lang w:eastAsia="en-US"/>
        </w:rPr>
      </w:r>
      <w:r w:rsidR="008979EA">
        <w:rPr>
          <w:lang w:eastAsia="en-US"/>
        </w:rPr>
        <w:fldChar w:fldCharType="separate"/>
      </w:r>
      <w:r w:rsidR="008979EA">
        <w:rPr>
          <w:lang w:eastAsia="en-US"/>
        </w:rPr>
        <w:t>[1]</w:t>
      </w:r>
      <w:r w:rsidR="008979EA">
        <w:rPr>
          <w:lang w:eastAsia="en-US"/>
        </w:rPr>
        <w:fldChar w:fldCharType="end"/>
      </w:r>
      <w:r w:rsidR="001D707D">
        <w:rPr>
          <w:lang w:eastAsia="en-US"/>
        </w:rPr>
        <w:t xml:space="preserve"> and suggested as one option</w:t>
      </w:r>
      <w:r w:rsidR="008979EA">
        <w:rPr>
          <w:lang w:eastAsia="en-US"/>
        </w:rPr>
        <w:t xml:space="preserve"> in</w:t>
      </w:r>
      <w:r>
        <w:rPr>
          <w:lang w:eastAsia="en-US"/>
        </w:rPr>
        <w:t xml:space="preserve"> </w:t>
      </w:r>
      <w:r>
        <w:rPr>
          <w:lang w:eastAsia="en-US"/>
        </w:rPr>
        <w:fldChar w:fldCharType="begin"/>
      </w:r>
      <w:r>
        <w:rPr>
          <w:lang w:eastAsia="en-US"/>
        </w:rPr>
        <w:instrText xml:space="preserve"> REF _Ref506475222 \r \h </w:instrText>
      </w:r>
      <w:r>
        <w:rPr>
          <w:lang w:eastAsia="en-US"/>
        </w:rPr>
      </w:r>
      <w:r>
        <w:rPr>
          <w:lang w:eastAsia="en-US"/>
        </w:rPr>
        <w:fldChar w:fldCharType="separate"/>
      </w:r>
      <w:r>
        <w:rPr>
          <w:lang w:eastAsia="en-US"/>
        </w:rPr>
        <w:t>[3]</w:t>
      </w:r>
      <w:r>
        <w:rPr>
          <w:lang w:eastAsia="en-US"/>
        </w:rPr>
        <w:fldChar w:fldCharType="end"/>
      </w:r>
      <w:r>
        <w:rPr>
          <w:lang w:eastAsia="en-US"/>
        </w:rPr>
        <w:t xml:space="preserve">, define the </w:t>
      </w:r>
      <w:r w:rsidR="008979EA">
        <w:rPr>
          <w:lang w:eastAsia="en-US"/>
        </w:rPr>
        <w:t>R</w:t>
      </w:r>
      <w:r>
        <w:rPr>
          <w:lang w:eastAsia="en-US"/>
        </w:rPr>
        <w:t>X beam peak direction</w:t>
      </w:r>
      <w:r>
        <w:rPr>
          <w:lang w:val="en-GB" w:eastAsia="en-US"/>
        </w:rPr>
        <w:t xml:space="preserve"> </w:t>
      </w:r>
      <w:r w:rsidR="001D707D">
        <w:rPr>
          <w:lang w:val="en-GB" w:eastAsia="en-US"/>
        </w:rPr>
        <w:t xml:space="preserve">(currently referred to as peak gain direction) </w:t>
      </w:r>
      <w:r>
        <w:rPr>
          <w:lang w:val="en-GB" w:eastAsia="en-US"/>
        </w:rPr>
        <w:t xml:space="preserve">as the direction where the total </w:t>
      </w:r>
      <w:r w:rsidR="001D707D" w:rsidRPr="001D707D">
        <w:rPr>
          <w:lang w:val="en-GB" w:eastAsia="en-US"/>
        </w:rPr>
        <w:t xml:space="preserve">Reference Signal Received Power </w:t>
      </w:r>
      <w:r w:rsidR="008979EA">
        <w:rPr>
          <w:lang w:val="en-GB" w:eastAsia="en-US"/>
        </w:rPr>
        <w:t>(RS</w:t>
      </w:r>
      <w:r w:rsidR="001D707D">
        <w:rPr>
          <w:lang w:val="en-GB" w:eastAsia="en-US"/>
        </w:rPr>
        <w:t>RP</w:t>
      </w:r>
      <w:r w:rsidR="008979EA">
        <w:rPr>
          <w:lang w:val="en-GB" w:eastAsia="en-US"/>
        </w:rPr>
        <w:t>)</w:t>
      </w:r>
      <w:r>
        <w:rPr>
          <w:lang w:val="en-GB" w:eastAsia="en-US"/>
        </w:rPr>
        <w:t xml:space="preserve">, i.e., the sum of </w:t>
      </w:r>
      <w:r w:rsidR="008979EA">
        <w:rPr>
          <w:lang w:val="en-GB" w:eastAsia="en-US"/>
        </w:rPr>
        <w:t>RS</w:t>
      </w:r>
      <w:r w:rsidR="001D707D">
        <w:rPr>
          <w:lang w:val="en-GB" w:eastAsia="en-US"/>
        </w:rPr>
        <w:t>RP</w:t>
      </w:r>
      <w:r>
        <w:rPr>
          <w:lang w:val="en-GB" w:eastAsia="en-US"/>
        </w:rPr>
        <w:t xml:space="preserve"> components measured at orthogonal components, </w:t>
      </w:r>
      <w:r w:rsidRPr="00D0031A">
        <w:rPr>
          <w:rFonts w:ascii="Symbol" w:hAnsi="Symbol"/>
          <w:lang w:val="en-GB"/>
        </w:rPr>
        <w:t></w:t>
      </w:r>
      <w:r w:rsidRPr="006C3FA8">
        <w:rPr>
          <w:lang w:val="en-GB"/>
        </w:rPr>
        <w:t xml:space="preserve"> and </w:t>
      </w:r>
      <w:r w:rsidRPr="00D0031A">
        <w:rPr>
          <w:rFonts w:ascii="Symbol" w:hAnsi="Symbol"/>
          <w:lang w:val="en-GB"/>
        </w:rPr>
        <w:t></w:t>
      </w:r>
      <w:r>
        <w:rPr>
          <w:rFonts w:ascii="Symbol" w:hAnsi="Symbol"/>
          <w:lang w:val="en-GB"/>
        </w:rPr>
        <w:t></w:t>
      </w:r>
      <w:r>
        <w:rPr>
          <w:rFonts w:ascii="Symbol" w:hAnsi="Symbol"/>
          <w:lang w:val="en-GB"/>
        </w:rPr>
        <w:t></w:t>
      </w:r>
      <w:r>
        <w:rPr>
          <w:lang w:val="en-GB" w:eastAsia="en-US"/>
        </w:rPr>
        <w:t xml:space="preserve"> is maximized.</w:t>
      </w:r>
      <w:r w:rsidR="001D707D">
        <w:rPr>
          <w:lang w:val="en-GB" w:eastAsia="en-US"/>
        </w:rPr>
        <w:t xml:space="preserve"> This in turn corresponds to the direction where the total component of the EIS is minimized.</w:t>
      </w:r>
      <w:r>
        <w:rPr>
          <w:lang w:val="en-GB" w:eastAsia="en-US"/>
        </w:rPr>
        <w:t xml:space="preserve"> In</w:t>
      </w:r>
      <w:r w:rsidR="008979EA">
        <w:rPr>
          <w:lang w:val="en-GB" w:eastAsia="en-US"/>
        </w:rPr>
        <w:t xml:space="preserve"> </w:t>
      </w:r>
      <w:r w:rsidR="008979EA">
        <w:rPr>
          <w:lang w:val="en-GB" w:eastAsia="en-US"/>
        </w:rPr>
        <w:fldChar w:fldCharType="begin"/>
      </w:r>
      <w:r w:rsidR="008979EA">
        <w:rPr>
          <w:lang w:val="en-GB" w:eastAsia="en-US"/>
        </w:rPr>
        <w:instrText xml:space="preserve"> REF _Ref506475222 \r \h </w:instrText>
      </w:r>
      <w:r w:rsidR="008979EA">
        <w:rPr>
          <w:lang w:val="en-GB" w:eastAsia="en-US"/>
        </w:rPr>
      </w:r>
      <w:r w:rsidR="008979EA">
        <w:rPr>
          <w:lang w:val="en-GB" w:eastAsia="en-US"/>
        </w:rPr>
        <w:fldChar w:fldCharType="separate"/>
      </w:r>
      <w:r w:rsidR="008979EA">
        <w:rPr>
          <w:lang w:val="en-GB" w:eastAsia="en-US"/>
        </w:rPr>
        <w:t>[3]</w:t>
      </w:r>
      <w:r w:rsidR="008979EA">
        <w:rPr>
          <w:lang w:val="en-GB" w:eastAsia="en-US"/>
        </w:rPr>
        <w:fldChar w:fldCharType="end"/>
      </w:r>
      <w:r>
        <w:rPr>
          <w:lang w:val="en-GB" w:eastAsia="en-US"/>
        </w:rPr>
        <w:t xml:space="preserve">, the total component was incorrectly defined as the average instead of summation of </w:t>
      </w:r>
      <w:r w:rsidR="008979EA">
        <w:rPr>
          <w:lang w:val="en-GB" w:eastAsia="en-US"/>
        </w:rPr>
        <w:t>RS</w:t>
      </w:r>
      <w:r w:rsidR="001D707D">
        <w:rPr>
          <w:lang w:val="en-GB" w:eastAsia="en-US"/>
        </w:rPr>
        <w:t>RP</w:t>
      </w:r>
      <w:r>
        <w:rPr>
          <w:lang w:val="en-GB" w:eastAsia="en-US"/>
        </w:rPr>
        <w:t xml:space="preserve"> components (</w:t>
      </w:r>
      <w:r w:rsidRPr="005247FF">
        <w:rPr>
          <w:lang w:val="en-GB" w:eastAsia="en-US"/>
        </w:rPr>
        <w:t>power in</w:t>
      </w:r>
      <w:r>
        <w:rPr>
          <w:lang w:val="en-GB" w:eastAsia="en-US"/>
        </w:rPr>
        <w:t xml:space="preserve"> </w:t>
      </w:r>
      <w:r w:rsidRPr="005247FF">
        <w:rPr>
          <w:lang w:val="en-GB" w:eastAsia="en-US"/>
        </w:rPr>
        <w:t xml:space="preserve">independent components </w:t>
      </w:r>
      <w:r>
        <w:rPr>
          <w:lang w:val="en-GB" w:eastAsia="en-US"/>
        </w:rPr>
        <w:t xml:space="preserve">adds). The definition of the </w:t>
      </w:r>
      <w:r w:rsidR="008979EA">
        <w:rPr>
          <w:lang w:val="en-GB" w:eastAsia="en-US"/>
        </w:rPr>
        <w:t>R</w:t>
      </w:r>
      <w:r>
        <w:rPr>
          <w:lang w:val="en-GB" w:eastAsia="en-US"/>
        </w:rPr>
        <w:t xml:space="preserve">X beam direction requires the knowledge of the </w:t>
      </w:r>
      <w:r w:rsidR="008979EA">
        <w:rPr>
          <w:lang w:val="en-GB" w:eastAsia="en-US"/>
        </w:rPr>
        <w:t>RS</w:t>
      </w:r>
      <w:r w:rsidR="00624042">
        <w:rPr>
          <w:lang w:val="en-GB" w:eastAsia="en-US"/>
        </w:rPr>
        <w:t>RP</w:t>
      </w:r>
      <w:r>
        <w:rPr>
          <w:lang w:val="en-GB" w:eastAsia="en-US"/>
        </w:rPr>
        <w:t xml:space="preserve"> values for each orthogonal component, </w:t>
      </w:r>
      <w:r w:rsidR="008979EA">
        <w:rPr>
          <w:lang w:val="en-GB" w:eastAsia="en-US"/>
        </w:rPr>
        <w:t>RS</w:t>
      </w:r>
      <w:r w:rsidR="001D707D">
        <w:rPr>
          <w:lang w:val="en-GB" w:eastAsia="en-US"/>
        </w:rPr>
        <w:t>RP</w:t>
      </w:r>
      <w:r w:rsidRPr="007516B6">
        <w:rPr>
          <w:rFonts w:ascii="Symbol" w:hAnsi="Symbol"/>
          <w:vertAlign w:val="subscript"/>
          <w:lang w:val="en-GB" w:eastAsia="en-US"/>
        </w:rPr>
        <w:t></w:t>
      </w:r>
      <w:r>
        <w:rPr>
          <w:lang w:val="en-GB" w:eastAsia="en-US"/>
        </w:rPr>
        <w:t xml:space="preserve"> and </w:t>
      </w:r>
      <w:r w:rsidR="008979EA">
        <w:rPr>
          <w:lang w:val="en-GB" w:eastAsia="en-US"/>
        </w:rPr>
        <w:t>RS</w:t>
      </w:r>
      <w:r w:rsidR="001D707D">
        <w:rPr>
          <w:lang w:val="en-GB" w:eastAsia="en-US"/>
        </w:rPr>
        <w:t>RP</w:t>
      </w:r>
      <w:r w:rsidRPr="007516B6">
        <w:rPr>
          <w:rFonts w:ascii="Symbol" w:hAnsi="Symbol"/>
          <w:vertAlign w:val="subscript"/>
          <w:lang w:val="en-GB" w:eastAsia="en-US"/>
        </w:rPr>
        <w:t></w:t>
      </w:r>
      <w:r>
        <w:rPr>
          <w:lang w:val="en-GB" w:eastAsia="en-US"/>
        </w:rPr>
        <w:t xml:space="preserve">, e.g., after a 3D </w:t>
      </w:r>
      <w:r w:rsidR="001D707D">
        <w:rPr>
          <w:lang w:val="en-GB" w:eastAsia="en-US"/>
        </w:rPr>
        <w:t xml:space="preserve">RSRP measurement scan, proposed in </w:t>
      </w:r>
      <w:r w:rsidR="001D707D">
        <w:rPr>
          <w:lang w:val="en-GB" w:eastAsia="en-US"/>
        </w:rPr>
        <w:fldChar w:fldCharType="begin"/>
      </w:r>
      <w:r w:rsidR="001D707D">
        <w:rPr>
          <w:lang w:val="en-GB" w:eastAsia="en-US"/>
        </w:rPr>
        <w:instrText xml:space="preserve"> REF _Ref506475222 \r \h </w:instrText>
      </w:r>
      <w:r w:rsidR="001D707D">
        <w:rPr>
          <w:lang w:val="en-GB" w:eastAsia="en-US"/>
        </w:rPr>
      </w:r>
      <w:r w:rsidR="001D707D">
        <w:rPr>
          <w:lang w:val="en-GB" w:eastAsia="en-US"/>
        </w:rPr>
        <w:fldChar w:fldCharType="separate"/>
      </w:r>
      <w:r w:rsidR="001D707D">
        <w:rPr>
          <w:lang w:val="en-GB" w:eastAsia="en-US"/>
        </w:rPr>
        <w:t>[3]</w:t>
      </w:r>
      <w:r w:rsidR="001D707D">
        <w:rPr>
          <w:lang w:val="en-GB" w:eastAsia="en-US"/>
        </w:rPr>
        <w:fldChar w:fldCharType="end"/>
      </w:r>
      <w:r w:rsidR="001D707D">
        <w:rPr>
          <w:lang w:val="en-GB" w:eastAsia="en-US"/>
        </w:rPr>
        <w:t xml:space="preserve">. </w:t>
      </w:r>
    </w:p>
    <w:p w14:paraId="684B5676" w14:textId="6F005249" w:rsidR="00045794" w:rsidRPr="00045794" w:rsidRDefault="00045794" w:rsidP="00CE0471">
      <w:pPr>
        <w:rPr>
          <w:lang w:val="en-GB"/>
        </w:rPr>
      </w:pPr>
      <w:r>
        <w:rPr>
          <w:lang w:val="en-GB" w:eastAsia="en-US"/>
        </w:rPr>
        <w:t>The RX b</w:t>
      </w:r>
      <w:r>
        <w:rPr>
          <w:lang w:val="en-GB"/>
        </w:rPr>
        <w:t>eam peak</w:t>
      </w:r>
      <w:r w:rsidRPr="00D0031A">
        <w:rPr>
          <w:lang w:val="en-GB"/>
        </w:rPr>
        <w:t xml:space="preserve"> direction </w:t>
      </w:r>
      <w:r w:rsidRPr="00D0031A">
        <w:rPr>
          <w:rFonts w:ascii="Symbol" w:hAnsi="Symbol"/>
          <w:lang w:val="en-GB"/>
        </w:rPr>
        <w:t></w:t>
      </w:r>
      <w:r w:rsidRPr="00D0031A">
        <w:rPr>
          <w:rFonts w:ascii="Symbol" w:hAnsi="Symbol"/>
          <w:lang w:val="en-GB"/>
        </w:rPr>
        <w:t></w:t>
      </w:r>
      <w:r>
        <w:rPr>
          <w:vertAlign w:val="subscript"/>
          <w:lang w:val="en-GB"/>
        </w:rPr>
        <w:t>RXpe</w:t>
      </w:r>
      <w:r w:rsidRPr="00D0031A">
        <w:rPr>
          <w:vertAlign w:val="subscript"/>
          <w:lang w:val="en-GB"/>
        </w:rPr>
        <w:t>ak,T</w:t>
      </w:r>
      <w:r w:rsidRPr="00D0031A">
        <w:rPr>
          <w:rFonts w:ascii="Symbol" w:hAnsi="Symbol"/>
          <w:lang w:val="en-GB"/>
        </w:rPr>
        <w:t></w:t>
      </w:r>
      <w:r w:rsidRPr="00D0031A">
        <w:rPr>
          <w:rFonts w:ascii="Symbol" w:hAnsi="Symbol"/>
          <w:lang w:val="en-GB"/>
        </w:rPr>
        <w:t></w:t>
      </w:r>
      <w:r>
        <w:rPr>
          <w:vertAlign w:val="subscript"/>
          <w:lang w:val="en-GB"/>
        </w:rPr>
        <w:t>RXpe</w:t>
      </w:r>
      <w:r w:rsidRPr="00D0031A">
        <w:rPr>
          <w:vertAlign w:val="subscript"/>
          <w:lang w:val="en-GB"/>
        </w:rPr>
        <w:t>ak,T</w:t>
      </w:r>
      <w:r w:rsidRPr="00D0031A">
        <w:rPr>
          <w:rFonts w:ascii="Symbol" w:hAnsi="Symbol"/>
          <w:lang w:val="en-GB"/>
        </w:rPr>
        <w:t></w:t>
      </w:r>
      <w:r w:rsidRPr="00D0031A">
        <w:rPr>
          <w:rFonts w:ascii="Symbol" w:hAnsi="Symbol"/>
          <w:lang w:val="en-GB"/>
        </w:rPr>
        <w:t></w:t>
      </w:r>
      <w:r>
        <w:rPr>
          <w:lang w:val="en-GB"/>
        </w:rPr>
        <w:t xml:space="preserve">is where the maximum </w:t>
      </w:r>
      <w:r w:rsidR="009A34CD">
        <w:rPr>
          <w:lang w:val="en-GB"/>
        </w:rPr>
        <w:t>RSRP</w:t>
      </w:r>
      <w:bookmarkStart w:id="13" w:name="_GoBack"/>
      <w:bookmarkEnd w:id="13"/>
      <w:r>
        <w:rPr>
          <w:lang w:val="en-GB"/>
        </w:rPr>
        <w:t xml:space="preserve"> component RSRP</w:t>
      </w:r>
      <w:r w:rsidRPr="00D0031A">
        <w:rPr>
          <w:vertAlign w:val="subscript"/>
          <w:lang w:val="en-GB"/>
        </w:rPr>
        <w:t>peak,T</w:t>
      </w:r>
      <w:r w:rsidRPr="00D0031A">
        <w:rPr>
          <w:rFonts w:ascii="Symbol" w:hAnsi="Symbol"/>
          <w:lang w:val="en-GB"/>
        </w:rPr>
        <w:t></w:t>
      </w:r>
      <w:r w:rsidRPr="00D0031A">
        <w:rPr>
          <w:rFonts w:ascii="Symbol" w:hAnsi="Symbol"/>
          <w:lang w:val="en-GB"/>
        </w:rPr>
        <w:t></w:t>
      </w:r>
      <w:r>
        <w:rPr>
          <w:vertAlign w:val="subscript"/>
          <w:lang w:val="en-GB"/>
        </w:rPr>
        <w:t>RXp</w:t>
      </w:r>
      <w:r w:rsidRPr="00D0031A">
        <w:rPr>
          <w:vertAlign w:val="subscript"/>
          <w:lang w:val="en-GB"/>
        </w:rPr>
        <w:t>eak,T</w:t>
      </w:r>
      <w:r w:rsidRPr="00D0031A">
        <w:rPr>
          <w:rFonts w:ascii="Symbol" w:hAnsi="Symbol"/>
          <w:lang w:val="en-GB"/>
        </w:rPr>
        <w:t></w:t>
      </w:r>
      <w:r w:rsidRPr="00D0031A">
        <w:rPr>
          <w:rFonts w:ascii="Symbol" w:hAnsi="Symbol"/>
          <w:lang w:val="en-GB"/>
        </w:rPr>
        <w:t></w:t>
      </w:r>
      <w:r>
        <w:rPr>
          <w:vertAlign w:val="subscript"/>
          <w:lang w:val="en-GB"/>
        </w:rPr>
        <w:t>RXp</w:t>
      </w:r>
      <w:r w:rsidRPr="00D0031A">
        <w:rPr>
          <w:vertAlign w:val="subscript"/>
          <w:lang w:val="en-GB"/>
        </w:rPr>
        <w:t>eak,T</w:t>
      </w:r>
      <w:r w:rsidRPr="00D0031A">
        <w:rPr>
          <w:lang w:val="en-GB"/>
        </w:rPr>
        <w:t xml:space="preserve">) = max [ </w:t>
      </w:r>
      <w:r w:rsidR="00624042">
        <w:rPr>
          <w:lang w:val="en-GB"/>
        </w:rPr>
        <w:t>RSRP</w:t>
      </w:r>
      <w:r w:rsidRPr="00D0031A">
        <w:rPr>
          <w:rFonts w:ascii="Symbol" w:hAnsi="Symbol"/>
          <w:vertAlign w:val="subscript"/>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lang w:val="en-GB"/>
        </w:rPr>
        <w:t xml:space="preserve"> + </w:t>
      </w:r>
      <w:r w:rsidR="00624042">
        <w:rPr>
          <w:lang w:val="en-GB"/>
        </w:rPr>
        <w:t>RSRP</w:t>
      </w:r>
      <w:r w:rsidRPr="00D0031A">
        <w:rPr>
          <w:rFonts w:ascii="Symbol" w:hAnsi="Symbol"/>
          <w:vertAlign w:val="subscript"/>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rFonts w:ascii="Symbol" w:hAnsi="Symbol"/>
          <w:lang w:val="en-GB"/>
        </w:rPr>
        <w:t></w:t>
      </w:r>
      <w:r w:rsidRPr="00D0031A">
        <w:rPr>
          <w:lang w:val="en-GB"/>
        </w:rPr>
        <w:t xml:space="preserve"> ]</w:t>
      </w:r>
      <w:r>
        <w:rPr>
          <w:lang w:val="en-GB"/>
        </w:rPr>
        <w:t xml:space="preserve"> is found</w:t>
      </w:r>
    </w:p>
    <w:bookmarkEnd w:id="10"/>
    <w:bookmarkEnd w:id="11"/>
    <w:bookmarkEnd w:id="12"/>
    <w:p w14:paraId="6F5BEA6B" w14:textId="0F4FD33F" w:rsidR="001D707D" w:rsidRDefault="001D707D" w:rsidP="001D707D">
      <w:pPr>
        <w:rPr>
          <w:b/>
          <w:lang w:val="en-GB"/>
        </w:rPr>
      </w:pPr>
      <w:r>
        <w:rPr>
          <w:b/>
          <w:lang w:val="en-GB"/>
        </w:rPr>
        <w:t>Proposal 3: Add the following definition in Clause 3.1 of 38.101-2: RX beam</w:t>
      </w:r>
      <w:r w:rsidRPr="005247FF">
        <w:rPr>
          <w:b/>
          <w:lang w:val="en-GB"/>
        </w:rPr>
        <w:t xml:space="preserve"> peak direction: direction where the </w:t>
      </w:r>
      <w:r>
        <w:rPr>
          <w:b/>
          <w:lang w:val="en-GB"/>
        </w:rPr>
        <w:t>maximum total component of RSRP and thus best total component of EIS</w:t>
      </w:r>
      <w:r w:rsidRPr="005247FF">
        <w:rPr>
          <w:b/>
          <w:lang w:val="en-GB"/>
        </w:rPr>
        <w:t xml:space="preserve"> is found</w:t>
      </w:r>
    </w:p>
    <w:bookmarkEnd w:id="0"/>
    <w:bookmarkEnd w:id="1"/>
    <w:p w14:paraId="6A30F3C3" w14:textId="12DC29C6" w:rsidR="00EE0AC3" w:rsidRPr="00783B2D" w:rsidRDefault="005C769A" w:rsidP="00EE0AC3">
      <w:pPr>
        <w:pStyle w:val="Heading1"/>
        <w:rPr>
          <w:rFonts w:cs="Arial"/>
        </w:rPr>
      </w:pPr>
      <w:r>
        <w:rPr>
          <w:rFonts w:cs="Arial"/>
        </w:rPr>
        <w:t>Summary</w:t>
      </w:r>
    </w:p>
    <w:p w14:paraId="7166FE49" w14:textId="77777777" w:rsidR="0063036E" w:rsidRPr="002B6956" w:rsidRDefault="0063036E" w:rsidP="0063036E">
      <w:pPr>
        <w:rPr>
          <w:b/>
          <w:lang w:val="en-GB"/>
        </w:rPr>
      </w:pPr>
      <w:bookmarkStart w:id="14" w:name="_Ref473660868"/>
      <w:bookmarkStart w:id="15" w:name="_Ref473660708"/>
      <w:bookmarkStart w:id="16" w:name="OLE_LINK6"/>
      <w:bookmarkStart w:id="17" w:name="OLE_LINK7"/>
      <w:r w:rsidRPr="002B6956">
        <w:rPr>
          <w:b/>
          <w:lang w:val="en-GB"/>
        </w:rPr>
        <w:t>Observation 1: The references for the peak direction (beam peak direction for EIRP/TX cases and peak gain direction for REFSENS/RX test cases) is not intuitive.</w:t>
      </w:r>
    </w:p>
    <w:p w14:paraId="0B312B19" w14:textId="5E06C0E6" w:rsidR="0063036E" w:rsidRDefault="0063036E" w:rsidP="0063036E">
      <w:pPr>
        <w:rPr>
          <w:b/>
          <w:lang w:val="en-GB"/>
        </w:rPr>
      </w:pPr>
      <w:r w:rsidRPr="002B6956">
        <w:rPr>
          <w:b/>
          <w:lang w:val="en-GB"/>
        </w:rPr>
        <w:t xml:space="preserve">Proposal 1: </w:t>
      </w:r>
      <w:r>
        <w:rPr>
          <w:b/>
          <w:lang w:val="en-GB"/>
        </w:rPr>
        <w:t>Reference the peak direction for TX test cases as the TX beam peak direction (instead of beam peak direction) and the peak direction for RX test cases as the RX beam peak direction (instead of peak gain direction)</w:t>
      </w:r>
    </w:p>
    <w:p w14:paraId="1D18DC5F" w14:textId="77777777" w:rsidR="0063036E" w:rsidRDefault="0063036E" w:rsidP="0063036E">
      <w:pPr>
        <w:rPr>
          <w:b/>
          <w:lang w:val="en-GB"/>
        </w:rPr>
      </w:pPr>
      <w:r>
        <w:rPr>
          <w:b/>
          <w:lang w:val="en-GB"/>
        </w:rPr>
        <w:t>Proposal 2: Replace the definition for beam peak direction in Clause 3.1 of 38.101-2 with the following definition for TX beam</w:t>
      </w:r>
      <w:r w:rsidRPr="005247FF">
        <w:rPr>
          <w:b/>
          <w:lang w:val="en-GB"/>
        </w:rPr>
        <w:t xml:space="preserve"> peak direction: direction where the </w:t>
      </w:r>
      <w:r>
        <w:rPr>
          <w:b/>
          <w:lang w:val="en-GB"/>
        </w:rPr>
        <w:t xml:space="preserve">maximum total component of </w:t>
      </w:r>
      <w:r w:rsidRPr="005247FF">
        <w:rPr>
          <w:b/>
          <w:lang w:val="en-GB"/>
        </w:rPr>
        <w:t>EIRP is found</w:t>
      </w:r>
    </w:p>
    <w:p w14:paraId="44231571" w14:textId="47EF12F0" w:rsidR="0063036E" w:rsidRDefault="0063036E" w:rsidP="0063036E">
      <w:pPr>
        <w:rPr>
          <w:b/>
          <w:lang w:val="en-GB"/>
        </w:rPr>
      </w:pPr>
      <w:r>
        <w:rPr>
          <w:b/>
          <w:lang w:val="en-GB"/>
        </w:rPr>
        <w:t>Proposal 3: Add the following definition in Clause 3.1 of 38.101-2: RX beam</w:t>
      </w:r>
      <w:r w:rsidRPr="005247FF">
        <w:rPr>
          <w:b/>
          <w:lang w:val="en-GB"/>
        </w:rPr>
        <w:t xml:space="preserve"> peak direction: direction where the </w:t>
      </w:r>
      <w:r>
        <w:rPr>
          <w:b/>
          <w:lang w:val="en-GB"/>
        </w:rPr>
        <w:t>maximum total component of RSRP and thus best total component of EIS</w:t>
      </w:r>
      <w:r w:rsidRPr="005247FF">
        <w:rPr>
          <w:b/>
          <w:lang w:val="en-GB"/>
        </w:rPr>
        <w:t xml:space="preserve"> is found</w:t>
      </w:r>
    </w:p>
    <w:p w14:paraId="1559997D" w14:textId="01C347E3" w:rsidR="00030A7F" w:rsidRPr="00783B2D" w:rsidRDefault="00030A7F" w:rsidP="00030A7F">
      <w:pPr>
        <w:pStyle w:val="Heading1"/>
        <w:numPr>
          <w:ilvl w:val="0"/>
          <w:numId w:val="0"/>
        </w:numPr>
        <w:ind w:left="432" w:hanging="432"/>
        <w:rPr>
          <w:rFonts w:cs="Arial"/>
        </w:rPr>
      </w:pPr>
      <w:r w:rsidRPr="00783B2D">
        <w:rPr>
          <w:rFonts w:cs="Arial"/>
        </w:rPr>
        <w:t>References</w:t>
      </w:r>
    </w:p>
    <w:p w14:paraId="2BD718FE" w14:textId="523A3F27" w:rsidR="007913E8" w:rsidRDefault="007913E8" w:rsidP="007913E8">
      <w:pPr>
        <w:pStyle w:val="ListParagraph"/>
        <w:numPr>
          <w:ilvl w:val="0"/>
          <w:numId w:val="46"/>
        </w:numPr>
        <w:spacing w:after="0" w:line="240" w:lineRule="auto"/>
        <w:rPr>
          <w:lang w:val="en-GB"/>
        </w:rPr>
      </w:pPr>
      <w:bookmarkStart w:id="18" w:name="_Ref506467810"/>
      <w:r w:rsidRPr="007913E8">
        <w:rPr>
          <w:lang w:val="en-GB"/>
        </w:rPr>
        <w:t>R4-1800950</w:t>
      </w:r>
      <w:r w:rsidRPr="007913E8">
        <w:rPr>
          <w:lang w:val="en-GB"/>
        </w:rPr>
        <w:tab/>
        <w:t xml:space="preserve">Beam Peak Direction Clarification for FR2 EIRP Testing, </w:t>
      </w:r>
      <w:r>
        <w:rPr>
          <w:lang w:val="en-GB"/>
        </w:rPr>
        <w:t xml:space="preserve">Rohde&amp;Schwarz, </w:t>
      </w:r>
      <w:r w:rsidRPr="007913E8">
        <w:rPr>
          <w:lang w:val="en-GB"/>
        </w:rPr>
        <w:t>3GPP TSG RAN WG4 Meeting #AH-1801</w:t>
      </w:r>
      <w:r>
        <w:rPr>
          <w:lang w:val="en-GB"/>
        </w:rPr>
        <w:t>, January 2018</w:t>
      </w:r>
      <w:bookmarkEnd w:id="18"/>
    </w:p>
    <w:p w14:paraId="0A9686F4" w14:textId="04C1ACDD" w:rsidR="007913E8" w:rsidRDefault="007913E8" w:rsidP="007913E8">
      <w:pPr>
        <w:pStyle w:val="ListParagraph"/>
        <w:numPr>
          <w:ilvl w:val="0"/>
          <w:numId w:val="46"/>
        </w:numPr>
        <w:spacing w:after="0" w:line="240" w:lineRule="auto"/>
        <w:rPr>
          <w:lang w:val="en-GB"/>
        </w:rPr>
      </w:pPr>
      <w:bookmarkStart w:id="19" w:name="_Ref506468012"/>
      <w:r w:rsidRPr="00783B2D">
        <w:rPr>
          <w:lang w:val="en-GB"/>
        </w:rPr>
        <w:t>TS38.101-2, User Equipment (UE) radio transmission and reception; Part 2: Range 2 Standalone, V</w:t>
      </w:r>
      <w:r>
        <w:rPr>
          <w:lang w:val="en-GB"/>
        </w:rPr>
        <w:t>1</w:t>
      </w:r>
      <w:r w:rsidRPr="00783B2D">
        <w:rPr>
          <w:lang w:val="en-GB"/>
        </w:rPr>
        <w:t>.</w:t>
      </w:r>
      <w:r>
        <w:rPr>
          <w:lang w:val="en-GB"/>
        </w:rPr>
        <w:t>0</w:t>
      </w:r>
      <w:r w:rsidRPr="00783B2D">
        <w:rPr>
          <w:lang w:val="en-GB"/>
        </w:rPr>
        <w:t>.0 (2017-</w:t>
      </w:r>
      <w:r w:rsidR="00B765D7">
        <w:rPr>
          <w:lang w:val="en-GB"/>
        </w:rPr>
        <w:t>12</w:t>
      </w:r>
      <w:r w:rsidRPr="00783B2D">
        <w:rPr>
          <w:lang w:val="en-GB"/>
        </w:rPr>
        <w:t>)</w:t>
      </w:r>
      <w:bookmarkEnd w:id="19"/>
    </w:p>
    <w:p w14:paraId="1F959C34" w14:textId="48E61E78" w:rsidR="007913E8" w:rsidRDefault="00CE0471" w:rsidP="00CE0471">
      <w:pPr>
        <w:pStyle w:val="ListParagraph"/>
        <w:numPr>
          <w:ilvl w:val="0"/>
          <w:numId w:val="46"/>
        </w:numPr>
        <w:spacing w:after="0" w:line="240" w:lineRule="auto"/>
        <w:rPr>
          <w:lang w:val="en-GB"/>
        </w:rPr>
      </w:pPr>
      <w:bookmarkStart w:id="20" w:name="_Ref506475222"/>
      <w:r w:rsidRPr="00CE0471">
        <w:rPr>
          <w:lang w:val="en-GB"/>
        </w:rPr>
        <w:t>R4-1713678</w:t>
      </w:r>
      <w:r>
        <w:rPr>
          <w:lang w:val="en-GB"/>
        </w:rPr>
        <w:t xml:space="preserve">, </w:t>
      </w:r>
      <w:r w:rsidRPr="00CE0471">
        <w:rPr>
          <w:lang w:val="en-GB"/>
        </w:rPr>
        <w:t>On Testing REFSENS using OTA for FR2</w:t>
      </w:r>
      <w:r>
        <w:rPr>
          <w:lang w:val="en-GB"/>
        </w:rPr>
        <w:t xml:space="preserve">, Rohde&amp;Schwarz, </w:t>
      </w:r>
      <w:r w:rsidRPr="00CE0471">
        <w:rPr>
          <w:lang w:val="en-GB"/>
        </w:rPr>
        <w:t>3GPP TSG RAN WG4 Meeting #85</w:t>
      </w:r>
      <w:r>
        <w:rPr>
          <w:lang w:val="en-GB"/>
        </w:rPr>
        <w:t>, November 2017</w:t>
      </w:r>
      <w:bookmarkEnd w:id="20"/>
    </w:p>
    <w:p w14:paraId="70AEABA5" w14:textId="70E56816" w:rsidR="00123D77" w:rsidRPr="00783B2D" w:rsidRDefault="00123D77" w:rsidP="00123D77">
      <w:pPr>
        <w:pStyle w:val="ListParagraph"/>
        <w:numPr>
          <w:ilvl w:val="0"/>
          <w:numId w:val="46"/>
        </w:numPr>
        <w:spacing w:after="0" w:line="240" w:lineRule="auto"/>
        <w:rPr>
          <w:lang w:val="en-GB"/>
        </w:rPr>
      </w:pPr>
      <w:r w:rsidRPr="00783B2D">
        <w:rPr>
          <w:lang w:val="en-GB"/>
        </w:rPr>
        <w:t>R4-1710431, REFSENS for mm-wave, Intel Corporation, 3GPP TSG-RAN WG4 Meeting #84bis, October 2017</w:t>
      </w:r>
    </w:p>
    <w:p w14:paraId="139C868F" w14:textId="2DE08B58" w:rsidR="00123D77" w:rsidRPr="00783B2D" w:rsidRDefault="00123D77" w:rsidP="00123D77">
      <w:pPr>
        <w:pStyle w:val="ListParagraph"/>
        <w:numPr>
          <w:ilvl w:val="0"/>
          <w:numId w:val="46"/>
        </w:numPr>
        <w:spacing w:after="0" w:line="240" w:lineRule="auto"/>
        <w:rPr>
          <w:lang w:val="en-GB"/>
        </w:rPr>
      </w:pPr>
      <w:r w:rsidRPr="00783B2D">
        <w:rPr>
          <w:lang w:val="en-GB"/>
        </w:rPr>
        <w:lastRenderedPageBreak/>
        <w:t>R4-1707828, Preliminary mmWave smartphone EIS evaluation, Huawei, HiSilicon, 3GPP TSG-RAN WG4 Meeting #84, August 2017</w:t>
      </w:r>
    </w:p>
    <w:p w14:paraId="1A4E81FE" w14:textId="4540F1DE" w:rsidR="00123D77" w:rsidRPr="00783B2D" w:rsidRDefault="00123D77" w:rsidP="00123D77">
      <w:pPr>
        <w:pStyle w:val="ListParagraph"/>
        <w:numPr>
          <w:ilvl w:val="0"/>
          <w:numId w:val="46"/>
        </w:numPr>
        <w:spacing w:after="0" w:line="240" w:lineRule="auto"/>
        <w:rPr>
          <w:lang w:val="en-GB"/>
        </w:rPr>
      </w:pPr>
      <w:r w:rsidRPr="00783B2D">
        <w:rPr>
          <w:lang w:val="en-GB"/>
        </w:rPr>
        <w:t>R4-1710709, NR UE REFSENS requirements at mmWave, LG Electronics France, 3GPP TSG-RAN WG4 Meeting #84bis, October 2017</w:t>
      </w:r>
    </w:p>
    <w:p w14:paraId="305C283E" w14:textId="77777777" w:rsidR="00123D77" w:rsidRPr="00783B2D" w:rsidRDefault="00123D77" w:rsidP="00123D77">
      <w:pPr>
        <w:pStyle w:val="ListParagraph"/>
        <w:numPr>
          <w:ilvl w:val="0"/>
          <w:numId w:val="46"/>
        </w:numPr>
        <w:spacing w:after="0" w:line="240" w:lineRule="auto"/>
        <w:rPr>
          <w:lang w:val="en-GB"/>
        </w:rPr>
      </w:pPr>
      <w:r w:rsidRPr="00783B2D">
        <w:rPr>
          <w:lang w:val="en-GB"/>
        </w:rPr>
        <w:t>R4-1711515, mmW EIS requirements, Qualcomm Incorporated, 3GPP TSG-RAN WG4 Meeting #84bis, October 2017</w:t>
      </w:r>
    </w:p>
    <w:p w14:paraId="678BBE5E" w14:textId="37DF4ACC" w:rsidR="00123D77" w:rsidRPr="00783B2D" w:rsidRDefault="00123D77" w:rsidP="00123D77">
      <w:pPr>
        <w:pStyle w:val="ListParagraph"/>
        <w:numPr>
          <w:ilvl w:val="0"/>
          <w:numId w:val="46"/>
        </w:numPr>
        <w:spacing w:after="0" w:line="240" w:lineRule="auto"/>
        <w:rPr>
          <w:lang w:val="en-GB"/>
        </w:rPr>
      </w:pPr>
      <w:r w:rsidRPr="00783B2D">
        <w:rPr>
          <w:lang w:val="en-GB"/>
        </w:rPr>
        <w:t>R4-1711427, UE reference sensitivity and spherical coverage for mmWave 28GHz, Sony, 3GPP TSG-RAN WG4 Meeting #84bis, October 2017</w:t>
      </w:r>
    </w:p>
    <w:p w14:paraId="72FFA210" w14:textId="51BCD20C" w:rsidR="008B76AE" w:rsidRPr="00783B2D" w:rsidRDefault="008B76AE" w:rsidP="008B76AE">
      <w:pPr>
        <w:pStyle w:val="ListParagraph"/>
        <w:numPr>
          <w:ilvl w:val="0"/>
          <w:numId w:val="46"/>
        </w:numPr>
        <w:spacing w:after="0" w:line="240" w:lineRule="auto"/>
        <w:rPr>
          <w:lang w:val="en-GB"/>
        </w:rPr>
      </w:pPr>
      <w:r w:rsidRPr="00783B2D">
        <w:rPr>
          <w:lang w:val="en-GB"/>
        </w:rPr>
        <w:t>R4-1711611, WF on the Peak EIS for n257 and n258, Sony, 3GPP TSG-RAN WG4 Meeting #84bis, October 2017</w:t>
      </w:r>
    </w:p>
    <w:p w14:paraId="53D2FD03" w14:textId="6909E8F2" w:rsidR="00FC0EE1" w:rsidRDefault="00FC0EE1" w:rsidP="00FC0EE1">
      <w:pPr>
        <w:pStyle w:val="ListParagraph"/>
        <w:numPr>
          <w:ilvl w:val="0"/>
          <w:numId w:val="46"/>
        </w:numPr>
        <w:spacing w:after="0" w:line="240" w:lineRule="auto"/>
        <w:rPr>
          <w:lang w:val="en-GB"/>
        </w:rPr>
      </w:pPr>
      <w:bookmarkStart w:id="21" w:name="OLE_LINK21"/>
      <w:r w:rsidRPr="00783B2D">
        <w:rPr>
          <w:lang w:val="en-GB"/>
        </w:rPr>
        <w:t>TS38.101-2, User Equipment (UE) radio transmission and reception; Part 2: Range 2 Standalone, V0.1.0 (2017-10)</w:t>
      </w:r>
    </w:p>
    <w:bookmarkEnd w:id="21"/>
    <w:p w14:paraId="3C3A866C" w14:textId="055C2305" w:rsidR="00E9558E" w:rsidRDefault="00E9558E" w:rsidP="00E9558E">
      <w:pPr>
        <w:pStyle w:val="ListParagraph"/>
        <w:numPr>
          <w:ilvl w:val="0"/>
          <w:numId w:val="46"/>
        </w:numPr>
        <w:spacing w:after="0" w:line="240" w:lineRule="auto"/>
        <w:rPr>
          <w:lang w:val="en-GB"/>
        </w:rPr>
      </w:pPr>
      <w:r w:rsidRPr="00E9558E">
        <w:rPr>
          <w:lang w:val="en-GB"/>
        </w:rPr>
        <w:t>Test Plan for Wireless Device Over-the-Air</w:t>
      </w:r>
      <w:r>
        <w:rPr>
          <w:lang w:val="en-GB"/>
        </w:rPr>
        <w:t xml:space="preserve"> </w:t>
      </w:r>
      <w:r w:rsidRPr="00E9558E">
        <w:rPr>
          <w:lang w:val="en-GB"/>
        </w:rPr>
        <w:t>Performance</w:t>
      </w:r>
      <w:r>
        <w:rPr>
          <w:lang w:val="en-GB"/>
        </w:rPr>
        <w:t xml:space="preserve">, </w:t>
      </w:r>
      <w:r w:rsidRPr="00E9558E">
        <w:rPr>
          <w:lang w:val="en-GB"/>
        </w:rPr>
        <w:t>CTIA - The Wireless Association</w:t>
      </w:r>
      <w:r>
        <w:rPr>
          <w:lang w:val="en-GB"/>
        </w:rPr>
        <w:t>, Version 3.6.2, May 2017</w:t>
      </w:r>
    </w:p>
    <w:p w14:paraId="3AB824C0" w14:textId="50486E5A" w:rsidR="00E9558E" w:rsidRPr="00E9558E" w:rsidRDefault="006F4E04" w:rsidP="006F4E04">
      <w:pPr>
        <w:pStyle w:val="ListParagraph"/>
        <w:numPr>
          <w:ilvl w:val="0"/>
          <w:numId w:val="46"/>
        </w:numPr>
        <w:spacing w:after="0" w:line="240" w:lineRule="auto"/>
        <w:rPr>
          <w:lang w:val="en-GB"/>
        </w:rPr>
      </w:pPr>
      <w:r w:rsidRPr="006F4E04">
        <w:rPr>
          <w:lang w:val="en-GB"/>
        </w:rPr>
        <w:t>R4-1709852, Qualcomm Incorporated, "On Choice of Spherical Surface Grid for Antenna Measurements", 3GPP TSG RAN WG4 NR AH Meeting #3, Nagoya, Japan, September 2017</w:t>
      </w:r>
    </w:p>
    <w:bookmarkEnd w:id="14"/>
    <w:bookmarkEnd w:id="15"/>
    <w:bookmarkEnd w:id="16"/>
    <w:bookmarkEnd w:id="17"/>
    <w:p w14:paraId="3F053A66" w14:textId="0C3F7631" w:rsidR="001B137F" w:rsidRPr="00783B2D" w:rsidRDefault="001B137F" w:rsidP="001747B0">
      <w:pPr>
        <w:spacing w:after="0" w:line="240" w:lineRule="auto"/>
        <w:ind w:left="720" w:hanging="720"/>
        <w:rPr>
          <w:lang w:val="en-GB"/>
        </w:rPr>
      </w:pPr>
    </w:p>
    <w:sectPr w:rsidR="001B137F" w:rsidRPr="00783B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50E23" w14:textId="77777777" w:rsidR="004F6AC7" w:rsidRDefault="004F6AC7" w:rsidP="00371D7D">
      <w:r>
        <w:separator/>
      </w:r>
    </w:p>
  </w:endnote>
  <w:endnote w:type="continuationSeparator" w:id="0">
    <w:p w14:paraId="625FFFF0" w14:textId="77777777" w:rsidR="004F6AC7" w:rsidRDefault="004F6A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9C0D1B6"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9A34CD">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5506F" w14:textId="77777777" w:rsidR="004F6AC7" w:rsidRDefault="004F6AC7" w:rsidP="00371D7D">
      <w:r>
        <w:separator/>
      </w:r>
    </w:p>
  </w:footnote>
  <w:footnote w:type="continuationSeparator" w:id="0">
    <w:p w14:paraId="731749BD" w14:textId="77777777" w:rsidR="004F6AC7" w:rsidRDefault="004F6AC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4180D92"/>
    <w:multiLevelType w:val="hybridMultilevel"/>
    <w:tmpl w:val="98428F2C"/>
    <w:lvl w:ilvl="0" w:tplc="09706674">
      <w:start w:val="1"/>
      <w:numFmt w:val="bullet"/>
      <w:lvlText w:val="•"/>
      <w:lvlJc w:val="left"/>
      <w:pPr>
        <w:tabs>
          <w:tab w:val="num" w:pos="720"/>
        </w:tabs>
        <w:ind w:left="720" w:hanging="360"/>
      </w:pPr>
      <w:rPr>
        <w:rFonts w:ascii="Arial" w:hAnsi="Arial" w:hint="default"/>
      </w:rPr>
    </w:lvl>
    <w:lvl w:ilvl="1" w:tplc="E0F49DB6">
      <w:start w:val="1"/>
      <w:numFmt w:val="bullet"/>
      <w:lvlText w:val="•"/>
      <w:lvlJc w:val="left"/>
      <w:pPr>
        <w:tabs>
          <w:tab w:val="num" w:pos="1440"/>
        </w:tabs>
        <w:ind w:left="1440" w:hanging="360"/>
      </w:pPr>
      <w:rPr>
        <w:rFonts w:ascii="Arial" w:hAnsi="Arial" w:hint="default"/>
      </w:rPr>
    </w:lvl>
    <w:lvl w:ilvl="2" w:tplc="E1CA9E0E" w:tentative="1">
      <w:start w:val="1"/>
      <w:numFmt w:val="bullet"/>
      <w:lvlText w:val="•"/>
      <w:lvlJc w:val="left"/>
      <w:pPr>
        <w:tabs>
          <w:tab w:val="num" w:pos="2160"/>
        </w:tabs>
        <w:ind w:left="2160" w:hanging="360"/>
      </w:pPr>
      <w:rPr>
        <w:rFonts w:ascii="Arial" w:hAnsi="Arial" w:hint="default"/>
      </w:rPr>
    </w:lvl>
    <w:lvl w:ilvl="3" w:tplc="EF726C2A" w:tentative="1">
      <w:start w:val="1"/>
      <w:numFmt w:val="bullet"/>
      <w:lvlText w:val="•"/>
      <w:lvlJc w:val="left"/>
      <w:pPr>
        <w:tabs>
          <w:tab w:val="num" w:pos="2880"/>
        </w:tabs>
        <w:ind w:left="2880" w:hanging="360"/>
      </w:pPr>
      <w:rPr>
        <w:rFonts w:ascii="Arial" w:hAnsi="Arial" w:hint="default"/>
      </w:rPr>
    </w:lvl>
    <w:lvl w:ilvl="4" w:tplc="ECD89D7E" w:tentative="1">
      <w:start w:val="1"/>
      <w:numFmt w:val="bullet"/>
      <w:lvlText w:val="•"/>
      <w:lvlJc w:val="left"/>
      <w:pPr>
        <w:tabs>
          <w:tab w:val="num" w:pos="3600"/>
        </w:tabs>
        <w:ind w:left="3600" w:hanging="360"/>
      </w:pPr>
      <w:rPr>
        <w:rFonts w:ascii="Arial" w:hAnsi="Arial" w:hint="default"/>
      </w:rPr>
    </w:lvl>
    <w:lvl w:ilvl="5" w:tplc="834A2716" w:tentative="1">
      <w:start w:val="1"/>
      <w:numFmt w:val="bullet"/>
      <w:lvlText w:val="•"/>
      <w:lvlJc w:val="left"/>
      <w:pPr>
        <w:tabs>
          <w:tab w:val="num" w:pos="4320"/>
        </w:tabs>
        <w:ind w:left="4320" w:hanging="360"/>
      </w:pPr>
      <w:rPr>
        <w:rFonts w:ascii="Arial" w:hAnsi="Arial" w:hint="default"/>
      </w:rPr>
    </w:lvl>
    <w:lvl w:ilvl="6" w:tplc="BF8833FE" w:tentative="1">
      <w:start w:val="1"/>
      <w:numFmt w:val="bullet"/>
      <w:lvlText w:val="•"/>
      <w:lvlJc w:val="left"/>
      <w:pPr>
        <w:tabs>
          <w:tab w:val="num" w:pos="5040"/>
        </w:tabs>
        <w:ind w:left="5040" w:hanging="360"/>
      </w:pPr>
      <w:rPr>
        <w:rFonts w:ascii="Arial" w:hAnsi="Arial" w:hint="default"/>
      </w:rPr>
    </w:lvl>
    <w:lvl w:ilvl="7" w:tplc="DE4EEB0E" w:tentative="1">
      <w:start w:val="1"/>
      <w:numFmt w:val="bullet"/>
      <w:lvlText w:val="•"/>
      <w:lvlJc w:val="left"/>
      <w:pPr>
        <w:tabs>
          <w:tab w:val="num" w:pos="5760"/>
        </w:tabs>
        <w:ind w:left="5760" w:hanging="360"/>
      </w:pPr>
      <w:rPr>
        <w:rFonts w:ascii="Arial" w:hAnsi="Arial" w:hint="default"/>
      </w:rPr>
    </w:lvl>
    <w:lvl w:ilvl="8" w:tplc="0E46F3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230613"/>
    <w:multiLevelType w:val="hybridMultilevel"/>
    <w:tmpl w:val="8BE6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5"/>
  </w:num>
  <w:num w:numId="3">
    <w:abstractNumId w:val="20"/>
  </w:num>
  <w:num w:numId="4">
    <w:abstractNumId w:val="34"/>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7"/>
  </w:num>
  <w:num w:numId="14">
    <w:abstractNumId w:val="20"/>
  </w:num>
  <w:num w:numId="15">
    <w:abstractNumId w:val="29"/>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20"/>
  </w:num>
  <w:num w:numId="24">
    <w:abstractNumId w:val="12"/>
  </w:num>
  <w:num w:numId="25">
    <w:abstractNumId w:val="13"/>
  </w:num>
  <w:num w:numId="26">
    <w:abstractNumId w:val="20"/>
  </w:num>
  <w:num w:numId="27">
    <w:abstractNumId w:val="22"/>
  </w:num>
  <w:num w:numId="28">
    <w:abstractNumId w:val="5"/>
  </w:num>
  <w:num w:numId="29">
    <w:abstractNumId w:val="27"/>
  </w:num>
  <w:num w:numId="30">
    <w:abstractNumId w:val="32"/>
  </w:num>
  <w:num w:numId="31">
    <w:abstractNumId w:val="31"/>
  </w:num>
  <w:num w:numId="32">
    <w:abstractNumId w:val="9"/>
  </w:num>
  <w:num w:numId="33">
    <w:abstractNumId w:val="39"/>
  </w:num>
  <w:num w:numId="34">
    <w:abstractNumId w:val="4"/>
  </w:num>
  <w:num w:numId="35">
    <w:abstractNumId w:val="16"/>
  </w:num>
  <w:num w:numId="36">
    <w:abstractNumId w:val="30"/>
  </w:num>
  <w:num w:numId="37">
    <w:abstractNumId w:val="24"/>
  </w:num>
  <w:num w:numId="38">
    <w:abstractNumId w:val="38"/>
  </w:num>
  <w:num w:numId="39">
    <w:abstractNumId w:val="28"/>
  </w:num>
  <w:num w:numId="40">
    <w:abstractNumId w:val="36"/>
  </w:num>
  <w:num w:numId="41">
    <w:abstractNumId w:val="26"/>
  </w:num>
  <w:num w:numId="42">
    <w:abstractNumId w:val="20"/>
  </w:num>
  <w:num w:numId="43">
    <w:abstractNumId w:val="20"/>
  </w:num>
  <w:num w:numId="44">
    <w:abstractNumId w:val="3"/>
  </w:num>
  <w:num w:numId="45">
    <w:abstractNumId w:val="8"/>
  </w:num>
  <w:num w:numId="46">
    <w:abstractNumId w:val="10"/>
  </w:num>
  <w:num w:numId="47">
    <w:abstractNumId w:val="0"/>
  </w:num>
  <w:num w:numId="48">
    <w:abstractNumId w:val="33"/>
  </w:num>
  <w:num w:numId="49">
    <w:abstractNumId w:val="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5794"/>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4191"/>
    <w:rsid w:val="00096AAF"/>
    <w:rsid w:val="000A0514"/>
    <w:rsid w:val="000A1FFE"/>
    <w:rsid w:val="000A262C"/>
    <w:rsid w:val="000A2FB0"/>
    <w:rsid w:val="000A3642"/>
    <w:rsid w:val="000A4DEE"/>
    <w:rsid w:val="000A5328"/>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27E"/>
    <w:rsid w:val="000D68AB"/>
    <w:rsid w:val="000D79F1"/>
    <w:rsid w:val="000E00AB"/>
    <w:rsid w:val="000E549D"/>
    <w:rsid w:val="000E65E5"/>
    <w:rsid w:val="000E75B0"/>
    <w:rsid w:val="000E7B1E"/>
    <w:rsid w:val="000F2169"/>
    <w:rsid w:val="000F67B1"/>
    <w:rsid w:val="00100D39"/>
    <w:rsid w:val="0010446A"/>
    <w:rsid w:val="0010792C"/>
    <w:rsid w:val="00107FB9"/>
    <w:rsid w:val="00110B13"/>
    <w:rsid w:val="001114C1"/>
    <w:rsid w:val="00112164"/>
    <w:rsid w:val="001137DA"/>
    <w:rsid w:val="0011436A"/>
    <w:rsid w:val="001147B0"/>
    <w:rsid w:val="00114995"/>
    <w:rsid w:val="00116DFF"/>
    <w:rsid w:val="001178F0"/>
    <w:rsid w:val="00117F9C"/>
    <w:rsid w:val="00123745"/>
    <w:rsid w:val="00123D77"/>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394F"/>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07D"/>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17EE9"/>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2519"/>
    <w:rsid w:val="00265BC6"/>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6956"/>
    <w:rsid w:val="002B7900"/>
    <w:rsid w:val="002C098B"/>
    <w:rsid w:val="002C3A3C"/>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D8F"/>
    <w:rsid w:val="00316F3F"/>
    <w:rsid w:val="003200D8"/>
    <w:rsid w:val="0032672D"/>
    <w:rsid w:val="003300C3"/>
    <w:rsid w:val="00330686"/>
    <w:rsid w:val="003321C2"/>
    <w:rsid w:val="00332D69"/>
    <w:rsid w:val="003344C4"/>
    <w:rsid w:val="00334F04"/>
    <w:rsid w:val="003434B3"/>
    <w:rsid w:val="00344B2B"/>
    <w:rsid w:val="0035204A"/>
    <w:rsid w:val="0036038D"/>
    <w:rsid w:val="00360476"/>
    <w:rsid w:val="003607C5"/>
    <w:rsid w:val="003608E0"/>
    <w:rsid w:val="00361F02"/>
    <w:rsid w:val="003660C7"/>
    <w:rsid w:val="003664A2"/>
    <w:rsid w:val="00367E6D"/>
    <w:rsid w:val="00371D7D"/>
    <w:rsid w:val="003722DF"/>
    <w:rsid w:val="00372474"/>
    <w:rsid w:val="003728C6"/>
    <w:rsid w:val="00372DAC"/>
    <w:rsid w:val="003750AC"/>
    <w:rsid w:val="0037625B"/>
    <w:rsid w:val="00377106"/>
    <w:rsid w:val="00381242"/>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3F58CF"/>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3E18"/>
    <w:rsid w:val="00445FD4"/>
    <w:rsid w:val="00446661"/>
    <w:rsid w:val="00451093"/>
    <w:rsid w:val="00452778"/>
    <w:rsid w:val="00455988"/>
    <w:rsid w:val="00457EE8"/>
    <w:rsid w:val="00460804"/>
    <w:rsid w:val="004614C5"/>
    <w:rsid w:val="0046181B"/>
    <w:rsid w:val="0046280F"/>
    <w:rsid w:val="004641CE"/>
    <w:rsid w:val="00465DA7"/>
    <w:rsid w:val="0046755F"/>
    <w:rsid w:val="00467D7B"/>
    <w:rsid w:val="00470182"/>
    <w:rsid w:val="00473048"/>
    <w:rsid w:val="00474149"/>
    <w:rsid w:val="00475793"/>
    <w:rsid w:val="00477362"/>
    <w:rsid w:val="00477BB8"/>
    <w:rsid w:val="00480E62"/>
    <w:rsid w:val="00481B3C"/>
    <w:rsid w:val="004820A0"/>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1DB"/>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4F6AC7"/>
    <w:rsid w:val="00502740"/>
    <w:rsid w:val="00502B4D"/>
    <w:rsid w:val="00510F85"/>
    <w:rsid w:val="00514970"/>
    <w:rsid w:val="005164DF"/>
    <w:rsid w:val="00516D9C"/>
    <w:rsid w:val="00517DEB"/>
    <w:rsid w:val="005208AB"/>
    <w:rsid w:val="00521C12"/>
    <w:rsid w:val="0052278C"/>
    <w:rsid w:val="00522D04"/>
    <w:rsid w:val="005242EF"/>
    <w:rsid w:val="005247E8"/>
    <w:rsid w:val="005247FF"/>
    <w:rsid w:val="0052481A"/>
    <w:rsid w:val="00524CE0"/>
    <w:rsid w:val="00525441"/>
    <w:rsid w:val="00533FBD"/>
    <w:rsid w:val="00534096"/>
    <w:rsid w:val="005346EC"/>
    <w:rsid w:val="005356CB"/>
    <w:rsid w:val="005374EC"/>
    <w:rsid w:val="00537AA4"/>
    <w:rsid w:val="00542862"/>
    <w:rsid w:val="0054542C"/>
    <w:rsid w:val="005466D7"/>
    <w:rsid w:val="00551E7D"/>
    <w:rsid w:val="00552E60"/>
    <w:rsid w:val="005535D7"/>
    <w:rsid w:val="0055483C"/>
    <w:rsid w:val="005549FE"/>
    <w:rsid w:val="00557539"/>
    <w:rsid w:val="005616A9"/>
    <w:rsid w:val="00563557"/>
    <w:rsid w:val="00564786"/>
    <w:rsid w:val="00565D1E"/>
    <w:rsid w:val="00565E03"/>
    <w:rsid w:val="00566B4A"/>
    <w:rsid w:val="00566EE0"/>
    <w:rsid w:val="00567127"/>
    <w:rsid w:val="005678D2"/>
    <w:rsid w:val="00570805"/>
    <w:rsid w:val="005718E4"/>
    <w:rsid w:val="00571AAB"/>
    <w:rsid w:val="005823BA"/>
    <w:rsid w:val="00583905"/>
    <w:rsid w:val="00584B1A"/>
    <w:rsid w:val="00586465"/>
    <w:rsid w:val="00590023"/>
    <w:rsid w:val="00594B54"/>
    <w:rsid w:val="005964E4"/>
    <w:rsid w:val="005A04AB"/>
    <w:rsid w:val="005C1279"/>
    <w:rsid w:val="005C517E"/>
    <w:rsid w:val="005C5210"/>
    <w:rsid w:val="005C769A"/>
    <w:rsid w:val="005D1F23"/>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0741"/>
    <w:rsid w:val="0060326E"/>
    <w:rsid w:val="00606D88"/>
    <w:rsid w:val="00607A72"/>
    <w:rsid w:val="0061069A"/>
    <w:rsid w:val="00611A7F"/>
    <w:rsid w:val="00612270"/>
    <w:rsid w:val="0061650C"/>
    <w:rsid w:val="00617172"/>
    <w:rsid w:val="006175A0"/>
    <w:rsid w:val="00617926"/>
    <w:rsid w:val="00621319"/>
    <w:rsid w:val="00624042"/>
    <w:rsid w:val="00626288"/>
    <w:rsid w:val="00627053"/>
    <w:rsid w:val="00630334"/>
    <w:rsid w:val="0063036E"/>
    <w:rsid w:val="0063332F"/>
    <w:rsid w:val="00633773"/>
    <w:rsid w:val="0063395B"/>
    <w:rsid w:val="00635940"/>
    <w:rsid w:val="006366AD"/>
    <w:rsid w:val="00636D6F"/>
    <w:rsid w:val="00640E01"/>
    <w:rsid w:val="00641EC6"/>
    <w:rsid w:val="00642968"/>
    <w:rsid w:val="00642BD3"/>
    <w:rsid w:val="00645237"/>
    <w:rsid w:val="006466C9"/>
    <w:rsid w:val="00654178"/>
    <w:rsid w:val="0066196E"/>
    <w:rsid w:val="006625CB"/>
    <w:rsid w:val="00664F1A"/>
    <w:rsid w:val="00667A9C"/>
    <w:rsid w:val="006720B2"/>
    <w:rsid w:val="00674D96"/>
    <w:rsid w:val="00675624"/>
    <w:rsid w:val="00680FDD"/>
    <w:rsid w:val="00682781"/>
    <w:rsid w:val="0068305A"/>
    <w:rsid w:val="00683E9D"/>
    <w:rsid w:val="00690B06"/>
    <w:rsid w:val="00691983"/>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2D8"/>
    <w:rsid w:val="006B7575"/>
    <w:rsid w:val="006C049B"/>
    <w:rsid w:val="006C1445"/>
    <w:rsid w:val="006C388F"/>
    <w:rsid w:val="006C3FA8"/>
    <w:rsid w:val="006C4C67"/>
    <w:rsid w:val="006C4E24"/>
    <w:rsid w:val="006C60BB"/>
    <w:rsid w:val="006C6ACE"/>
    <w:rsid w:val="006C74FF"/>
    <w:rsid w:val="006D3FD0"/>
    <w:rsid w:val="006D46B5"/>
    <w:rsid w:val="006D5D7E"/>
    <w:rsid w:val="006E0307"/>
    <w:rsid w:val="006E1A7C"/>
    <w:rsid w:val="006E1D64"/>
    <w:rsid w:val="006E4F64"/>
    <w:rsid w:val="006E5BCE"/>
    <w:rsid w:val="006E6577"/>
    <w:rsid w:val="006E7C54"/>
    <w:rsid w:val="006F1D3A"/>
    <w:rsid w:val="006F2C16"/>
    <w:rsid w:val="006F4D66"/>
    <w:rsid w:val="006F4E04"/>
    <w:rsid w:val="006F563A"/>
    <w:rsid w:val="006F73CF"/>
    <w:rsid w:val="006F7C37"/>
    <w:rsid w:val="007008DF"/>
    <w:rsid w:val="0070104D"/>
    <w:rsid w:val="00701E18"/>
    <w:rsid w:val="00706CB9"/>
    <w:rsid w:val="00707FFC"/>
    <w:rsid w:val="00712BF6"/>
    <w:rsid w:val="007138CB"/>
    <w:rsid w:val="00714D81"/>
    <w:rsid w:val="007174F8"/>
    <w:rsid w:val="00720003"/>
    <w:rsid w:val="00720FB7"/>
    <w:rsid w:val="00724558"/>
    <w:rsid w:val="007246E4"/>
    <w:rsid w:val="00731B27"/>
    <w:rsid w:val="007327DA"/>
    <w:rsid w:val="00733D87"/>
    <w:rsid w:val="00735D1F"/>
    <w:rsid w:val="00744D61"/>
    <w:rsid w:val="00746B62"/>
    <w:rsid w:val="007477D2"/>
    <w:rsid w:val="00747FFE"/>
    <w:rsid w:val="0075036F"/>
    <w:rsid w:val="007510C4"/>
    <w:rsid w:val="0075542E"/>
    <w:rsid w:val="00756A2B"/>
    <w:rsid w:val="00757245"/>
    <w:rsid w:val="00757D7D"/>
    <w:rsid w:val="00761AED"/>
    <w:rsid w:val="007636DE"/>
    <w:rsid w:val="00765F55"/>
    <w:rsid w:val="007706D0"/>
    <w:rsid w:val="00773BDA"/>
    <w:rsid w:val="00773C96"/>
    <w:rsid w:val="00773DCA"/>
    <w:rsid w:val="0077400D"/>
    <w:rsid w:val="007742E7"/>
    <w:rsid w:val="00776D6B"/>
    <w:rsid w:val="007827F7"/>
    <w:rsid w:val="00783B2D"/>
    <w:rsid w:val="007842C7"/>
    <w:rsid w:val="007913E8"/>
    <w:rsid w:val="007927C1"/>
    <w:rsid w:val="00793EA4"/>
    <w:rsid w:val="007944C3"/>
    <w:rsid w:val="00797969"/>
    <w:rsid w:val="007A422E"/>
    <w:rsid w:val="007A68E2"/>
    <w:rsid w:val="007A7270"/>
    <w:rsid w:val="007B0569"/>
    <w:rsid w:val="007B1E81"/>
    <w:rsid w:val="007B36E6"/>
    <w:rsid w:val="007B49AC"/>
    <w:rsid w:val="007B6328"/>
    <w:rsid w:val="007B6733"/>
    <w:rsid w:val="007B6ADB"/>
    <w:rsid w:val="007C0E2A"/>
    <w:rsid w:val="007C1887"/>
    <w:rsid w:val="007C221F"/>
    <w:rsid w:val="007C54E4"/>
    <w:rsid w:val="007C6CC6"/>
    <w:rsid w:val="007C7077"/>
    <w:rsid w:val="007C7AEC"/>
    <w:rsid w:val="007D0D81"/>
    <w:rsid w:val="007D15F5"/>
    <w:rsid w:val="007D35D4"/>
    <w:rsid w:val="007D3DED"/>
    <w:rsid w:val="007D4BD9"/>
    <w:rsid w:val="007D632A"/>
    <w:rsid w:val="007E144D"/>
    <w:rsid w:val="007E1A21"/>
    <w:rsid w:val="007E29DD"/>
    <w:rsid w:val="007E47C9"/>
    <w:rsid w:val="007E542F"/>
    <w:rsid w:val="007E6D3C"/>
    <w:rsid w:val="007E74D3"/>
    <w:rsid w:val="007E75B3"/>
    <w:rsid w:val="007F63B8"/>
    <w:rsid w:val="00802A02"/>
    <w:rsid w:val="00802F82"/>
    <w:rsid w:val="008031B7"/>
    <w:rsid w:val="00803ADC"/>
    <w:rsid w:val="00803D35"/>
    <w:rsid w:val="00805D56"/>
    <w:rsid w:val="008064E5"/>
    <w:rsid w:val="00811A7C"/>
    <w:rsid w:val="00814716"/>
    <w:rsid w:val="00815718"/>
    <w:rsid w:val="008159B1"/>
    <w:rsid w:val="008211B6"/>
    <w:rsid w:val="008222DF"/>
    <w:rsid w:val="00825E45"/>
    <w:rsid w:val="00831E58"/>
    <w:rsid w:val="0083554F"/>
    <w:rsid w:val="00836315"/>
    <w:rsid w:val="00837DB8"/>
    <w:rsid w:val="00843E54"/>
    <w:rsid w:val="00844428"/>
    <w:rsid w:val="00844B0E"/>
    <w:rsid w:val="00846179"/>
    <w:rsid w:val="00846CBA"/>
    <w:rsid w:val="00861EA4"/>
    <w:rsid w:val="00862AFA"/>
    <w:rsid w:val="00863700"/>
    <w:rsid w:val="0086567A"/>
    <w:rsid w:val="00865D16"/>
    <w:rsid w:val="008678EB"/>
    <w:rsid w:val="00867C2A"/>
    <w:rsid w:val="00870546"/>
    <w:rsid w:val="00870C53"/>
    <w:rsid w:val="00871558"/>
    <w:rsid w:val="00871F58"/>
    <w:rsid w:val="00872FCD"/>
    <w:rsid w:val="008731C9"/>
    <w:rsid w:val="00873CA6"/>
    <w:rsid w:val="00874DFB"/>
    <w:rsid w:val="00875139"/>
    <w:rsid w:val="0087559E"/>
    <w:rsid w:val="00875D1D"/>
    <w:rsid w:val="008818BD"/>
    <w:rsid w:val="00882425"/>
    <w:rsid w:val="00882F18"/>
    <w:rsid w:val="00887996"/>
    <w:rsid w:val="008919FA"/>
    <w:rsid w:val="00894205"/>
    <w:rsid w:val="008948CA"/>
    <w:rsid w:val="008966F6"/>
    <w:rsid w:val="008979EA"/>
    <w:rsid w:val="008A4559"/>
    <w:rsid w:val="008A4F4D"/>
    <w:rsid w:val="008A5259"/>
    <w:rsid w:val="008B0514"/>
    <w:rsid w:val="008B12D0"/>
    <w:rsid w:val="008B3E44"/>
    <w:rsid w:val="008B4257"/>
    <w:rsid w:val="008B76AE"/>
    <w:rsid w:val="008B7827"/>
    <w:rsid w:val="008B7853"/>
    <w:rsid w:val="008C2395"/>
    <w:rsid w:val="008C291E"/>
    <w:rsid w:val="008C2C73"/>
    <w:rsid w:val="008C31F8"/>
    <w:rsid w:val="008C77C6"/>
    <w:rsid w:val="008D0A86"/>
    <w:rsid w:val="008D2D94"/>
    <w:rsid w:val="008D4E8E"/>
    <w:rsid w:val="008D552A"/>
    <w:rsid w:val="008D6EF1"/>
    <w:rsid w:val="008D7189"/>
    <w:rsid w:val="008D797C"/>
    <w:rsid w:val="008D7BA0"/>
    <w:rsid w:val="008E0FC4"/>
    <w:rsid w:val="008E1A2B"/>
    <w:rsid w:val="008E5CC2"/>
    <w:rsid w:val="008E6FD8"/>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0F1"/>
    <w:rsid w:val="00952B8A"/>
    <w:rsid w:val="0095468A"/>
    <w:rsid w:val="0095562A"/>
    <w:rsid w:val="00962E59"/>
    <w:rsid w:val="009641CA"/>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34CD"/>
    <w:rsid w:val="009A438D"/>
    <w:rsid w:val="009B1044"/>
    <w:rsid w:val="009B3C07"/>
    <w:rsid w:val="009B630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53B0"/>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C7A"/>
    <w:rsid w:val="00A130E4"/>
    <w:rsid w:val="00A14EBC"/>
    <w:rsid w:val="00A15983"/>
    <w:rsid w:val="00A24150"/>
    <w:rsid w:val="00A304DE"/>
    <w:rsid w:val="00A31D72"/>
    <w:rsid w:val="00A32070"/>
    <w:rsid w:val="00A33D3A"/>
    <w:rsid w:val="00A353DC"/>
    <w:rsid w:val="00A40BA0"/>
    <w:rsid w:val="00A413AD"/>
    <w:rsid w:val="00A42596"/>
    <w:rsid w:val="00A43DCF"/>
    <w:rsid w:val="00A44C02"/>
    <w:rsid w:val="00A4537F"/>
    <w:rsid w:val="00A55AF2"/>
    <w:rsid w:val="00A571CA"/>
    <w:rsid w:val="00A57C7C"/>
    <w:rsid w:val="00A60934"/>
    <w:rsid w:val="00A6158C"/>
    <w:rsid w:val="00A62362"/>
    <w:rsid w:val="00A63A28"/>
    <w:rsid w:val="00A64C86"/>
    <w:rsid w:val="00A67985"/>
    <w:rsid w:val="00A6798F"/>
    <w:rsid w:val="00A7325E"/>
    <w:rsid w:val="00A76DBE"/>
    <w:rsid w:val="00A777EC"/>
    <w:rsid w:val="00A81FB7"/>
    <w:rsid w:val="00A8311E"/>
    <w:rsid w:val="00A84896"/>
    <w:rsid w:val="00A86604"/>
    <w:rsid w:val="00A87C7B"/>
    <w:rsid w:val="00A95090"/>
    <w:rsid w:val="00A9514D"/>
    <w:rsid w:val="00A96690"/>
    <w:rsid w:val="00A97BF8"/>
    <w:rsid w:val="00AA04CC"/>
    <w:rsid w:val="00AA066D"/>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B71"/>
    <w:rsid w:val="00AE376A"/>
    <w:rsid w:val="00AE4566"/>
    <w:rsid w:val="00AF0048"/>
    <w:rsid w:val="00AF4D77"/>
    <w:rsid w:val="00AF60AE"/>
    <w:rsid w:val="00AF6742"/>
    <w:rsid w:val="00AF6DBB"/>
    <w:rsid w:val="00B050D3"/>
    <w:rsid w:val="00B05ACB"/>
    <w:rsid w:val="00B05B25"/>
    <w:rsid w:val="00B05CB4"/>
    <w:rsid w:val="00B11E41"/>
    <w:rsid w:val="00B13078"/>
    <w:rsid w:val="00B130F2"/>
    <w:rsid w:val="00B14AF5"/>
    <w:rsid w:val="00B1538B"/>
    <w:rsid w:val="00B1788D"/>
    <w:rsid w:val="00B206F3"/>
    <w:rsid w:val="00B20B88"/>
    <w:rsid w:val="00B2126A"/>
    <w:rsid w:val="00B240D0"/>
    <w:rsid w:val="00B25305"/>
    <w:rsid w:val="00B277E9"/>
    <w:rsid w:val="00B27923"/>
    <w:rsid w:val="00B30F45"/>
    <w:rsid w:val="00B319AF"/>
    <w:rsid w:val="00B31F06"/>
    <w:rsid w:val="00B3300C"/>
    <w:rsid w:val="00B337D5"/>
    <w:rsid w:val="00B35629"/>
    <w:rsid w:val="00B37C19"/>
    <w:rsid w:val="00B407DA"/>
    <w:rsid w:val="00B413A7"/>
    <w:rsid w:val="00B42131"/>
    <w:rsid w:val="00B4226E"/>
    <w:rsid w:val="00B50A51"/>
    <w:rsid w:val="00B548F0"/>
    <w:rsid w:val="00B57FE5"/>
    <w:rsid w:val="00B60110"/>
    <w:rsid w:val="00B61206"/>
    <w:rsid w:val="00B618F7"/>
    <w:rsid w:val="00B65660"/>
    <w:rsid w:val="00B65E1E"/>
    <w:rsid w:val="00B67FA8"/>
    <w:rsid w:val="00B73093"/>
    <w:rsid w:val="00B75570"/>
    <w:rsid w:val="00B757DF"/>
    <w:rsid w:val="00B765D7"/>
    <w:rsid w:val="00B77425"/>
    <w:rsid w:val="00B8042F"/>
    <w:rsid w:val="00B80FDD"/>
    <w:rsid w:val="00B81E4C"/>
    <w:rsid w:val="00B81FC7"/>
    <w:rsid w:val="00B8385A"/>
    <w:rsid w:val="00B838DA"/>
    <w:rsid w:val="00B846F3"/>
    <w:rsid w:val="00B92991"/>
    <w:rsid w:val="00B92F4B"/>
    <w:rsid w:val="00B94A61"/>
    <w:rsid w:val="00B96064"/>
    <w:rsid w:val="00B9652C"/>
    <w:rsid w:val="00B9692F"/>
    <w:rsid w:val="00B97827"/>
    <w:rsid w:val="00BA1072"/>
    <w:rsid w:val="00BA6F0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E63EF"/>
    <w:rsid w:val="00BF1935"/>
    <w:rsid w:val="00BF268B"/>
    <w:rsid w:val="00BF7A2F"/>
    <w:rsid w:val="00C0043D"/>
    <w:rsid w:val="00C006B0"/>
    <w:rsid w:val="00C0127E"/>
    <w:rsid w:val="00C02E85"/>
    <w:rsid w:val="00C04CEB"/>
    <w:rsid w:val="00C074A2"/>
    <w:rsid w:val="00C142E1"/>
    <w:rsid w:val="00C14F5D"/>
    <w:rsid w:val="00C24153"/>
    <w:rsid w:val="00C249DE"/>
    <w:rsid w:val="00C25111"/>
    <w:rsid w:val="00C253B8"/>
    <w:rsid w:val="00C27A92"/>
    <w:rsid w:val="00C301A2"/>
    <w:rsid w:val="00C3037E"/>
    <w:rsid w:val="00C30491"/>
    <w:rsid w:val="00C30ED0"/>
    <w:rsid w:val="00C31E50"/>
    <w:rsid w:val="00C32F3C"/>
    <w:rsid w:val="00C34B92"/>
    <w:rsid w:val="00C40C85"/>
    <w:rsid w:val="00C42A8B"/>
    <w:rsid w:val="00C42B0B"/>
    <w:rsid w:val="00C43A48"/>
    <w:rsid w:val="00C45B5A"/>
    <w:rsid w:val="00C47016"/>
    <w:rsid w:val="00C478DD"/>
    <w:rsid w:val="00C520BF"/>
    <w:rsid w:val="00C53222"/>
    <w:rsid w:val="00C56860"/>
    <w:rsid w:val="00C572CF"/>
    <w:rsid w:val="00C57CA3"/>
    <w:rsid w:val="00C60D58"/>
    <w:rsid w:val="00C61A94"/>
    <w:rsid w:val="00C62A0A"/>
    <w:rsid w:val="00C6340E"/>
    <w:rsid w:val="00C665B6"/>
    <w:rsid w:val="00C66AEC"/>
    <w:rsid w:val="00C67824"/>
    <w:rsid w:val="00C70448"/>
    <w:rsid w:val="00C72138"/>
    <w:rsid w:val="00C72C2E"/>
    <w:rsid w:val="00C72DE3"/>
    <w:rsid w:val="00C75C55"/>
    <w:rsid w:val="00C7683E"/>
    <w:rsid w:val="00C77B2F"/>
    <w:rsid w:val="00C802EE"/>
    <w:rsid w:val="00C8107C"/>
    <w:rsid w:val="00C829FB"/>
    <w:rsid w:val="00C8381D"/>
    <w:rsid w:val="00C83A62"/>
    <w:rsid w:val="00C85E97"/>
    <w:rsid w:val="00C90D34"/>
    <w:rsid w:val="00C94068"/>
    <w:rsid w:val="00C97269"/>
    <w:rsid w:val="00C97B69"/>
    <w:rsid w:val="00CA1045"/>
    <w:rsid w:val="00CA2954"/>
    <w:rsid w:val="00CA3FC2"/>
    <w:rsid w:val="00CA4CB3"/>
    <w:rsid w:val="00CA5316"/>
    <w:rsid w:val="00CB0D44"/>
    <w:rsid w:val="00CB415C"/>
    <w:rsid w:val="00CB63DF"/>
    <w:rsid w:val="00CB6C80"/>
    <w:rsid w:val="00CC40C2"/>
    <w:rsid w:val="00CC6B35"/>
    <w:rsid w:val="00CC6DB6"/>
    <w:rsid w:val="00CD04C0"/>
    <w:rsid w:val="00CD1034"/>
    <w:rsid w:val="00CD46C7"/>
    <w:rsid w:val="00CD6B1A"/>
    <w:rsid w:val="00CE0471"/>
    <w:rsid w:val="00CE0D0F"/>
    <w:rsid w:val="00CE2567"/>
    <w:rsid w:val="00CE6A12"/>
    <w:rsid w:val="00CE7B33"/>
    <w:rsid w:val="00CF23C9"/>
    <w:rsid w:val="00CF3ECE"/>
    <w:rsid w:val="00CF41D2"/>
    <w:rsid w:val="00CF56EB"/>
    <w:rsid w:val="00CF5ECC"/>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1451"/>
    <w:rsid w:val="00D424E3"/>
    <w:rsid w:val="00D42662"/>
    <w:rsid w:val="00D42AF3"/>
    <w:rsid w:val="00D512B6"/>
    <w:rsid w:val="00D52C2F"/>
    <w:rsid w:val="00D60B40"/>
    <w:rsid w:val="00D6276B"/>
    <w:rsid w:val="00D63D63"/>
    <w:rsid w:val="00D66E80"/>
    <w:rsid w:val="00D674F3"/>
    <w:rsid w:val="00D6756B"/>
    <w:rsid w:val="00D701BC"/>
    <w:rsid w:val="00D71543"/>
    <w:rsid w:val="00D7490D"/>
    <w:rsid w:val="00D75F8F"/>
    <w:rsid w:val="00D76632"/>
    <w:rsid w:val="00D7749F"/>
    <w:rsid w:val="00D77AE7"/>
    <w:rsid w:val="00D8000F"/>
    <w:rsid w:val="00D8136D"/>
    <w:rsid w:val="00D81F96"/>
    <w:rsid w:val="00D821C8"/>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DD7"/>
    <w:rsid w:val="00DC5FBC"/>
    <w:rsid w:val="00DC755B"/>
    <w:rsid w:val="00DD1B9D"/>
    <w:rsid w:val="00DD6E41"/>
    <w:rsid w:val="00DD74FF"/>
    <w:rsid w:val="00DE3025"/>
    <w:rsid w:val="00DE4E25"/>
    <w:rsid w:val="00DE6819"/>
    <w:rsid w:val="00DF19E8"/>
    <w:rsid w:val="00E03811"/>
    <w:rsid w:val="00E03F84"/>
    <w:rsid w:val="00E04EA2"/>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2095"/>
    <w:rsid w:val="00E66159"/>
    <w:rsid w:val="00E66596"/>
    <w:rsid w:val="00E736DC"/>
    <w:rsid w:val="00E740C8"/>
    <w:rsid w:val="00E74332"/>
    <w:rsid w:val="00E74BB0"/>
    <w:rsid w:val="00E74BBE"/>
    <w:rsid w:val="00E76211"/>
    <w:rsid w:val="00E80403"/>
    <w:rsid w:val="00E80CFB"/>
    <w:rsid w:val="00E8179E"/>
    <w:rsid w:val="00E82FDD"/>
    <w:rsid w:val="00E8563B"/>
    <w:rsid w:val="00E86372"/>
    <w:rsid w:val="00E908DA"/>
    <w:rsid w:val="00E910A0"/>
    <w:rsid w:val="00E925DB"/>
    <w:rsid w:val="00E92C72"/>
    <w:rsid w:val="00E932CE"/>
    <w:rsid w:val="00E94563"/>
    <w:rsid w:val="00E9558E"/>
    <w:rsid w:val="00E960CD"/>
    <w:rsid w:val="00E971E7"/>
    <w:rsid w:val="00E9771D"/>
    <w:rsid w:val="00EA3129"/>
    <w:rsid w:val="00EA33A5"/>
    <w:rsid w:val="00EA4B29"/>
    <w:rsid w:val="00EA4D76"/>
    <w:rsid w:val="00EA5264"/>
    <w:rsid w:val="00EB05C0"/>
    <w:rsid w:val="00EB21DE"/>
    <w:rsid w:val="00EB4866"/>
    <w:rsid w:val="00EB6462"/>
    <w:rsid w:val="00EB7838"/>
    <w:rsid w:val="00EB7CDF"/>
    <w:rsid w:val="00EC04F5"/>
    <w:rsid w:val="00EC0C9D"/>
    <w:rsid w:val="00EC1757"/>
    <w:rsid w:val="00EC5F39"/>
    <w:rsid w:val="00ED533B"/>
    <w:rsid w:val="00ED5892"/>
    <w:rsid w:val="00EE0AC3"/>
    <w:rsid w:val="00EE17A9"/>
    <w:rsid w:val="00EE17D7"/>
    <w:rsid w:val="00EE33CE"/>
    <w:rsid w:val="00EE3CD5"/>
    <w:rsid w:val="00EE42C5"/>
    <w:rsid w:val="00EE4801"/>
    <w:rsid w:val="00EE49E6"/>
    <w:rsid w:val="00EE555F"/>
    <w:rsid w:val="00EE6715"/>
    <w:rsid w:val="00EF0BCA"/>
    <w:rsid w:val="00EF1BF6"/>
    <w:rsid w:val="00F012A7"/>
    <w:rsid w:val="00F0327E"/>
    <w:rsid w:val="00F06974"/>
    <w:rsid w:val="00F07012"/>
    <w:rsid w:val="00F0740A"/>
    <w:rsid w:val="00F12AF0"/>
    <w:rsid w:val="00F222B3"/>
    <w:rsid w:val="00F2354A"/>
    <w:rsid w:val="00F23C22"/>
    <w:rsid w:val="00F24631"/>
    <w:rsid w:val="00F254A4"/>
    <w:rsid w:val="00F2572B"/>
    <w:rsid w:val="00F30860"/>
    <w:rsid w:val="00F32C78"/>
    <w:rsid w:val="00F336EA"/>
    <w:rsid w:val="00F37787"/>
    <w:rsid w:val="00F409F0"/>
    <w:rsid w:val="00F40D01"/>
    <w:rsid w:val="00F410D4"/>
    <w:rsid w:val="00F4147C"/>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1C42"/>
    <w:rsid w:val="00FB280C"/>
    <w:rsid w:val="00FB3AF6"/>
    <w:rsid w:val="00FB64A5"/>
    <w:rsid w:val="00FB690B"/>
    <w:rsid w:val="00FB7139"/>
    <w:rsid w:val="00FC056D"/>
    <w:rsid w:val="00FC0EE1"/>
    <w:rsid w:val="00FC1AA3"/>
    <w:rsid w:val="00FC26EF"/>
    <w:rsid w:val="00FC27B2"/>
    <w:rsid w:val="00FC27FA"/>
    <w:rsid w:val="00FC44BE"/>
    <w:rsid w:val="00FC45FA"/>
    <w:rsid w:val="00FC50C3"/>
    <w:rsid w:val="00FC5257"/>
    <w:rsid w:val="00FC6386"/>
    <w:rsid w:val="00FD35F8"/>
    <w:rsid w:val="00FD3753"/>
    <w:rsid w:val="00FD5EAC"/>
    <w:rsid w:val="00FD6676"/>
    <w:rsid w:val="00FD6C8C"/>
    <w:rsid w:val="00FE1AEC"/>
    <w:rsid w:val="00FE3C99"/>
    <w:rsid w:val="00FE73F2"/>
    <w:rsid w:val="00FF02C3"/>
    <w:rsid w:val="00FF249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9D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F56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1D707D"/>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640375">
      <w:bodyDiv w:val="1"/>
      <w:marLeft w:val="0"/>
      <w:marRight w:val="0"/>
      <w:marTop w:val="0"/>
      <w:marBottom w:val="0"/>
      <w:divBdr>
        <w:top w:val="none" w:sz="0" w:space="0" w:color="auto"/>
        <w:left w:val="none" w:sz="0" w:space="0" w:color="auto"/>
        <w:bottom w:val="none" w:sz="0" w:space="0" w:color="auto"/>
        <w:right w:val="none" w:sz="0" w:space="0" w:color="auto"/>
      </w:divBdr>
      <w:divsChild>
        <w:div w:id="816382468">
          <w:marLeft w:val="1080"/>
          <w:marRight w:val="0"/>
          <w:marTop w:val="100"/>
          <w:marBottom w:val="0"/>
          <w:divBdr>
            <w:top w:val="none" w:sz="0" w:space="0" w:color="auto"/>
            <w:left w:val="none" w:sz="0" w:space="0" w:color="auto"/>
            <w:bottom w:val="none" w:sz="0" w:space="0" w:color="auto"/>
            <w:right w:val="none" w:sz="0" w:space="0" w:color="auto"/>
          </w:divBdr>
        </w:div>
        <w:div w:id="990250434">
          <w:marLeft w:val="1080"/>
          <w:marRight w:val="0"/>
          <w:marTop w:val="100"/>
          <w:marBottom w:val="0"/>
          <w:divBdr>
            <w:top w:val="none" w:sz="0" w:space="0" w:color="auto"/>
            <w:left w:val="none" w:sz="0" w:space="0" w:color="auto"/>
            <w:bottom w:val="none" w:sz="0" w:space="0" w:color="auto"/>
            <w:right w:val="none" w:sz="0" w:space="0" w:color="auto"/>
          </w:divBdr>
        </w:div>
      </w:divsChild>
    </w:div>
    <w:div w:id="170571348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2783D-4DB1-4E70-891A-A44A4364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2018-02-15T22:11:00Z</dcterms:created>
  <dcterms:modified xsi:type="dcterms:W3CDTF">2018-02-19T18:13:00Z</dcterms:modified>
  <cp:category/>
</cp:coreProperties>
</file>